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shd w:val="clear" w:color="auto" w:fill="FFFFFF"/>
        <w:adjustRightInd w:val="0"/>
        <w:snapToGrid w:val="0"/>
        <w:spacing w:line="288" w:lineRule="auto"/>
        <w:ind w:leftChars="0"/>
        <w:jc w:val="left"/>
        <w:rPr>
          <w:rFonts w:hint="eastAsia" w:ascii="宋体" w:hAnsi="宋体" w:eastAsia="宋体" w:cs="宋体"/>
          <w:b/>
          <w:bCs/>
          <w:kern w:val="0"/>
          <w:sz w:val="24"/>
          <w:szCs w:val="24"/>
        </w:rPr>
      </w:pPr>
      <w:r>
        <w:rPr>
          <w:rFonts w:hint="eastAsia" w:ascii="宋体" w:hAnsi="宋体" w:cs="宋体"/>
          <w:b/>
          <w:bCs/>
          <w:kern w:val="0"/>
          <w:sz w:val="24"/>
          <w:szCs w:val="24"/>
          <w:lang w:val="en-US" w:eastAsia="zh-CN"/>
        </w:rPr>
        <w:t>附件一：</w:t>
      </w:r>
      <w:r>
        <w:rPr>
          <w:rFonts w:hint="eastAsia" w:ascii="宋体" w:hAnsi="宋体" w:eastAsia="宋体" w:cs="宋体"/>
          <w:b/>
          <w:bCs/>
          <w:kern w:val="0"/>
          <w:sz w:val="24"/>
          <w:szCs w:val="24"/>
        </w:rPr>
        <w:t>江西古香今韵大健康产业有限公司</w:t>
      </w:r>
      <w:r>
        <w:rPr>
          <w:rFonts w:hint="eastAsia" w:ascii="宋体" w:hAnsi="宋体" w:eastAsia="宋体" w:cs="宋体"/>
          <w:b/>
          <w:bCs/>
          <w:kern w:val="0"/>
          <w:sz w:val="24"/>
          <w:szCs w:val="24"/>
          <w:lang w:val="en-US" w:eastAsia="zh-CN"/>
        </w:rPr>
        <w:t>大型仪器</w:t>
      </w:r>
      <w:r>
        <w:rPr>
          <w:rFonts w:hint="eastAsia" w:ascii="宋体" w:hAnsi="宋体" w:eastAsia="宋体" w:cs="宋体"/>
          <w:b/>
          <w:bCs/>
          <w:kern w:val="0"/>
          <w:sz w:val="24"/>
          <w:szCs w:val="24"/>
        </w:rPr>
        <w:t>采购项目采购需求；</w:t>
      </w:r>
    </w:p>
    <w:p>
      <w:pPr>
        <w:rPr>
          <w:rFonts w:hint="eastAsia" w:ascii="宋体" w:hAnsi="宋体" w:eastAsia="宋体" w:cs="宋体"/>
          <w:b/>
          <w:bCs/>
          <w:sz w:val="21"/>
          <w:szCs w:val="21"/>
        </w:rPr>
      </w:pPr>
      <w:r>
        <w:rPr>
          <w:rFonts w:hint="eastAsia" w:ascii="宋体" w:hAnsi="宋体" w:eastAsia="宋体" w:cs="宋体"/>
          <w:b/>
          <w:bCs/>
          <w:sz w:val="21"/>
          <w:szCs w:val="21"/>
        </w:rPr>
        <w:t>一</w:t>
      </w:r>
      <w:r>
        <w:rPr>
          <w:rFonts w:hint="eastAsia" w:ascii="宋体" w:hAnsi="宋体" w:cs="宋体"/>
          <w:b/>
          <w:bCs/>
          <w:sz w:val="21"/>
          <w:szCs w:val="21"/>
          <w:lang w:eastAsia="zh-CN"/>
        </w:rPr>
        <w:t>、</w:t>
      </w:r>
      <w:r>
        <w:rPr>
          <w:rFonts w:hint="eastAsia" w:ascii="宋体" w:hAnsi="宋体" w:eastAsia="宋体" w:cs="宋体"/>
          <w:b/>
          <w:bCs/>
          <w:sz w:val="21"/>
          <w:szCs w:val="21"/>
        </w:rPr>
        <w:t xml:space="preserve">采购方式： </w:t>
      </w:r>
    </w:p>
    <w:p>
      <w:pPr>
        <w:ind w:firstLine="210" w:firstLineChars="100"/>
        <w:rPr>
          <w:rFonts w:hint="eastAsia" w:ascii="宋体" w:hAnsi="宋体" w:eastAsia="宋体" w:cs="宋体"/>
          <w:sz w:val="21"/>
          <w:szCs w:val="21"/>
        </w:rPr>
      </w:pPr>
      <w:r>
        <w:rPr>
          <w:rFonts w:hint="eastAsia" w:ascii="宋体" w:hAnsi="宋体" w:eastAsia="宋体" w:cs="宋体"/>
          <w:sz w:val="21"/>
          <w:szCs w:val="21"/>
        </w:rPr>
        <w:t>公开招标</w:t>
      </w:r>
    </w:p>
    <w:p>
      <w:pPr>
        <w:rPr>
          <w:rFonts w:hint="eastAsia" w:ascii="宋体" w:hAnsi="宋体" w:eastAsia="宋体" w:cs="宋体"/>
          <w:b/>
          <w:bCs/>
          <w:sz w:val="21"/>
          <w:szCs w:val="21"/>
        </w:rPr>
      </w:pPr>
      <w:r>
        <w:rPr>
          <w:rFonts w:hint="eastAsia" w:ascii="宋体" w:hAnsi="宋体" w:eastAsia="宋体" w:cs="宋体"/>
          <w:b/>
          <w:bCs/>
          <w:sz w:val="21"/>
          <w:szCs w:val="21"/>
        </w:rPr>
        <w:t>二</w:t>
      </w:r>
      <w:r>
        <w:rPr>
          <w:rFonts w:hint="eastAsia" w:ascii="宋体" w:hAnsi="宋体" w:cs="宋体"/>
          <w:b/>
          <w:bCs/>
          <w:sz w:val="21"/>
          <w:szCs w:val="21"/>
          <w:lang w:eastAsia="zh-CN"/>
        </w:rPr>
        <w:t>、</w:t>
      </w:r>
      <w:r>
        <w:rPr>
          <w:rFonts w:hint="eastAsia" w:ascii="宋体" w:hAnsi="宋体" w:eastAsia="宋体" w:cs="宋体"/>
          <w:b/>
          <w:bCs/>
          <w:sz w:val="21"/>
          <w:szCs w:val="21"/>
        </w:rPr>
        <w:t>质保期及付款方式：</w:t>
      </w:r>
    </w:p>
    <w:p>
      <w:pPr>
        <w:rPr>
          <w:rFonts w:hint="eastAsia" w:ascii="宋体" w:hAnsi="宋体" w:eastAsia="宋体" w:cs="宋体"/>
          <w:sz w:val="21"/>
          <w:szCs w:val="21"/>
        </w:rPr>
      </w:pPr>
      <w:r>
        <w:rPr>
          <w:rFonts w:hint="eastAsia" w:ascii="宋体" w:hAnsi="宋体" w:eastAsia="宋体" w:cs="宋体"/>
          <w:sz w:val="21"/>
          <w:szCs w:val="21"/>
        </w:rPr>
        <w:t>质保期：壹年</w:t>
      </w:r>
    </w:p>
    <w:p>
      <w:pPr>
        <w:ind w:firstLine="420" w:firstLineChars="200"/>
        <w:rPr>
          <w:rFonts w:hint="eastAsia" w:ascii="宋体" w:hAnsi="宋体" w:eastAsia="宋体" w:cs="宋体"/>
          <w:color w:val="000000"/>
          <w:sz w:val="21"/>
          <w:szCs w:val="21"/>
        </w:rPr>
      </w:pPr>
      <w:r>
        <w:rPr>
          <w:rFonts w:hint="eastAsia" w:ascii="宋体" w:hAnsi="宋体" w:eastAsia="宋体" w:cs="宋体"/>
          <w:sz w:val="21"/>
          <w:szCs w:val="21"/>
        </w:rPr>
        <w:t>从签订合同之日起五个工作日内供应商向我司支付合同</w:t>
      </w:r>
      <w:r>
        <w:rPr>
          <w:rFonts w:hint="eastAsia" w:ascii="宋体" w:hAnsi="宋体" w:eastAsia="宋体" w:cs="宋体"/>
          <w:color w:val="000000"/>
          <w:sz w:val="21"/>
          <w:szCs w:val="21"/>
        </w:rPr>
        <w:t>总价5%的合</w:t>
      </w:r>
      <w:r>
        <w:rPr>
          <w:rFonts w:hint="eastAsia" w:ascii="宋体" w:hAnsi="宋体" w:eastAsia="宋体" w:cs="宋体"/>
          <w:sz w:val="21"/>
          <w:szCs w:val="21"/>
        </w:rPr>
        <w:t>同款作为合同履约保证金。货物安装调试并试用期（1个月）满经质量验收合格，由供应商向我司提供发票等有效凭证后，我司向供应商支付100%合同款。验收合格后，合同履约保证金退付</w:t>
      </w:r>
      <w:r>
        <w:rPr>
          <w:rFonts w:hint="eastAsia" w:ascii="宋体" w:hAnsi="宋体" w:eastAsia="宋体" w:cs="宋体"/>
          <w:color w:val="000000"/>
          <w:sz w:val="21"/>
          <w:szCs w:val="21"/>
        </w:rPr>
        <w:t>按本合同约定的免费保修期（质保期）年限支付，</w:t>
      </w:r>
      <w:r>
        <w:rPr>
          <w:rFonts w:hint="eastAsia" w:ascii="宋体" w:hAnsi="宋体" w:eastAsia="宋体" w:cs="宋体"/>
          <w:sz w:val="21"/>
          <w:szCs w:val="21"/>
        </w:rPr>
        <w:t>履约保证金</w:t>
      </w:r>
      <w:r>
        <w:rPr>
          <w:rFonts w:hint="eastAsia" w:ascii="宋体" w:hAnsi="宋体" w:eastAsia="宋体" w:cs="宋体"/>
          <w:color w:val="000000"/>
          <w:sz w:val="21"/>
          <w:szCs w:val="21"/>
        </w:rPr>
        <w:t>退付在我司收到供应商《</w:t>
      </w:r>
      <w:r>
        <w:rPr>
          <w:rFonts w:hint="eastAsia" w:ascii="宋体" w:hAnsi="宋体" w:eastAsia="宋体" w:cs="宋体"/>
          <w:sz w:val="21"/>
          <w:szCs w:val="21"/>
        </w:rPr>
        <w:t>履约保证金</w:t>
      </w:r>
      <w:r>
        <w:rPr>
          <w:rFonts w:hint="eastAsia" w:ascii="宋体" w:hAnsi="宋体" w:eastAsia="宋体" w:cs="宋体"/>
          <w:color w:val="000000"/>
          <w:sz w:val="21"/>
          <w:szCs w:val="21"/>
        </w:rPr>
        <w:t>支付审批表》等结算资料后10个工作日内一次性向供应商退还。</w:t>
      </w:r>
    </w:p>
    <w:p>
      <w:pPr>
        <w:rPr>
          <w:rFonts w:hint="eastAsia" w:ascii="宋体" w:hAnsi="宋体" w:eastAsia="宋体" w:cs="宋体"/>
          <w:b/>
          <w:bCs/>
          <w:sz w:val="21"/>
          <w:szCs w:val="21"/>
        </w:rPr>
      </w:pPr>
      <w:r>
        <w:rPr>
          <w:rFonts w:hint="eastAsia" w:ascii="宋体" w:hAnsi="宋体" w:eastAsia="宋体" w:cs="宋体"/>
          <w:b/>
          <w:bCs/>
          <w:sz w:val="21"/>
          <w:szCs w:val="21"/>
        </w:rPr>
        <w:t>三</w:t>
      </w:r>
      <w:r>
        <w:rPr>
          <w:rFonts w:hint="eastAsia" w:ascii="宋体" w:hAnsi="宋体" w:cs="宋体"/>
          <w:b/>
          <w:bCs/>
          <w:sz w:val="21"/>
          <w:szCs w:val="21"/>
          <w:lang w:eastAsia="zh-CN"/>
        </w:rPr>
        <w:t>、</w:t>
      </w:r>
      <w:r>
        <w:rPr>
          <w:rFonts w:hint="eastAsia" w:ascii="宋体" w:hAnsi="宋体" w:eastAsia="宋体" w:cs="宋体"/>
          <w:b/>
          <w:bCs/>
          <w:sz w:val="21"/>
          <w:szCs w:val="21"/>
        </w:rPr>
        <w:t>交货期要求</w:t>
      </w:r>
    </w:p>
    <w:p>
      <w:pPr>
        <w:ind w:firstLine="411" w:firstLineChars="196"/>
        <w:rPr>
          <w:rFonts w:hint="eastAsia" w:ascii="宋体" w:hAnsi="宋体" w:eastAsia="宋体" w:cs="宋体"/>
          <w:sz w:val="21"/>
          <w:szCs w:val="21"/>
        </w:rPr>
      </w:pPr>
      <w:r>
        <w:rPr>
          <w:rFonts w:hint="eastAsia" w:ascii="宋体" w:hAnsi="宋体" w:eastAsia="宋体" w:cs="宋体"/>
          <w:sz w:val="21"/>
          <w:szCs w:val="21"/>
        </w:rPr>
        <w:t>1、合同签订生</w:t>
      </w:r>
      <w:r>
        <w:rPr>
          <w:rFonts w:hint="eastAsia" w:ascii="宋体" w:hAnsi="宋体" w:eastAsia="宋体" w:cs="宋体"/>
          <w:color w:val="000000"/>
          <w:sz w:val="21"/>
          <w:szCs w:val="21"/>
        </w:rPr>
        <w:t>效后，90个日历日内安装调</w:t>
      </w:r>
      <w:r>
        <w:rPr>
          <w:rFonts w:hint="eastAsia" w:ascii="宋体" w:hAnsi="宋体" w:eastAsia="宋体" w:cs="宋体"/>
          <w:sz w:val="21"/>
          <w:szCs w:val="21"/>
        </w:rPr>
        <w:t>试完毕。</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2、如我司在收到货物后发现中标供应商所交货物质量不符合本合同产品配置及价格清单约定的情况，应及时保留证据并一次性书面向中标供应商提出，中标供应商在收到相关证据和通知后七个工作日内免费更换，并承担退换货来往运费。如中标供应商更换货物后质量仍然不符合本合同产品配置及价格清单约定的，我司有权解除合同。</w:t>
      </w:r>
    </w:p>
    <w:p>
      <w:pPr>
        <w:rPr>
          <w:rFonts w:hint="eastAsia" w:ascii="宋体" w:hAnsi="宋体" w:eastAsia="宋体" w:cs="宋体"/>
          <w:b/>
          <w:sz w:val="21"/>
          <w:szCs w:val="21"/>
        </w:rPr>
      </w:pPr>
      <w:r>
        <w:rPr>
          <w:rFonts w:hint="eastAsia" w:ascii="宋体" w:hAnsi="宋体" w:eastAsia="宋体" w:cs="宋体"/>
          <w:b/>
          <w:bCs/>
          <w:sz w:val="21"/>
          <w:szCs w:val="21"/>
        </w:rPr>
        <w:t>四</w:t>
      </w:r>
      <w:r>
        <w:rPr>
          <w:rFonts w:hint="eastAsia" w:ascii="宋体" w:hAnsi="宋体" w:cs="宋体"/>
          <w:b/>
          <w:bCs/>
          <w:sz w:val="21"/>
          <w:szCs w:val="21"/>
          <w:lang w:eastAsia="zh-CN"/>
        </w:rPr>
        <w:t>、</w:t>
      </w:r>
      <w:r>
        <w:rPr>
          <w:rFonts w:hint="eastAsia" w:ascii="宋体" w:hAnsi="宋体" w:eastAsia="宋体" w:cs="宋体"/>
          <w:b/>
          <w:bCs/>
          <w:sz w:val="21"/>
          <w:szCs w:val="21"/>
        </w:rPr>
        <w:t>其他商务条款：</w:t>
      </w:r>
    </w:p>
    <w:p>
      <w:pPr>
        <w:rPr>
          <w:rFonts w:hint="eastAsia" w:ascii="宋体" w:hAnsi="宋体" w:eastAsia="宋体" w:cs="宋体"/>
          <w:b/>
          <w:sz w:val="21"/>
          <w:szCs w:val="21"/>
        </w:rPr>
      </w:pPr>
      <w:r>
        <w:rPr>
          <w:rFonts w:hint="eastAsia" w:ascii="宋体" w:hAnsi="宋体" w:eastAsia="宋体" w:cs="宋体"/>
          <w:b/>
          <w:sz w:val="21"/>
          <w:szCs w:val="21"/>
        </w:rPr>
        <w:t>（</w:t>
      </w:r>
      <w:r>
        <w:rPr>
          <w:rFonts w:hint="eastAsia" w:ascii="宋体" w:hAnsi="宋体" w:cs="宋体"/>
          <w:b/>
          <w:sz w:val="21"/>
          <w:szCs w:val="21"/>
          <w:lang w:val="en-US" w:eastAsia="zh-CN"/>
        </w:rPr>
        <w:t>1</w:t>
      </w:r>
      <w:r>
        <w:rPr>
          <w:rFonts w:hint="eastAsia" w:ascii="宋体" w:hAnsi="宋体" w:eastAsia="宋体" w:cs="宋体"/>
          <w:b/>
          <w:sz w:val="21"/>
          <w:szCs w:val="21"/>
        </w:rPr>
        <w:t>）售后服务</w:t>
      </w:r>
    </w:p>
    <w:p>
      <w:pPr>
        <w:ind w:firstLine="560"/>
        <w:rPr>
          <w:rFonts w:hint="eastAsia" w:ascii="宋体" w:hAnsi="宋体" w:eastAsia="宋体" w:cs="宋体"/>
          <w:sz w:val="21"/>
          <w:szCs w:val="21"/>
        </w:rPr>
      </w:pPr>
      <w:r>
        <w:rPr>
          <w:rFonts w:hint="eastAsia" w:ascii="宋体" w:hAnsi="宋体" w:eastAsia="宋体" w:cs="宋体"/>
          <w:sz w:val="21"/>
          <w:szCs w:val="21"/>
        </w:rPr>
        <w:t>1、必须提供所响应设备通过最终验收合格、签署验收合格证书并办理移交手续之日起12个月的免费质量保证期，在本项目承诺的免费质量保证期内实行“三包”服务。</w:t>
      </w:r>
    </w:p>
    <w:p>
      <w:pPr>
        <w:ind w:firstLine="560"/>
        <w:rPr>
          <w:rFonts w:hint="eastAsia" w:ascii="宋体" w:hAnsi="宋体" w:eastAsia="宋体" w:cs="宋体"/>
          <w:color w:val="000000"/>
          <w:sz w:val="21"/>
          <w:szCs w:val="21"/>
        </w:rPr>
      </w:pPr>
      <w:r>
        <w:rPr>
          <w:rFonts w:hint="eastAsia" w:ascii="宋体" w:hAnsi="宋体" w:eastAsia="宋体" w:cs="宋体"/>
          <w:sz w:val="21"/>
          <w:szCs w:val="21"/>
        </w:rPr>
        <w:t>2、维修响应时间：免费质量保证期间提供7* 24小时的故障服务受理，必要时提供现场支援，一般故障1小时解决，重大故障2小时解决。若问题、故障在检修后仍无法解决，供货单位免费提供不低于故障货物规格型号档次的备用货物供采购人使用，直至故障货物修复；</w:t>
      </w:r>
    </w:p>
    <w:p>
      <w:pPr>
        <w:ind w:firstLine="560"/>
        <w:rPr>
          <w:rFonts w:hint="eastAsia" w:ascii="宋体" w:hAnsi="宋体" w:eastAsia="宋体" w:cs="宋体"/>
          <w:color w:val="000000"/>
          <w:sz w:val="21"/>
          <w:szCs w:val="21"/>
        </w:rPr>
      </w:pPr>
      <w:r>
        <w:rPr>
          <w:rFonts w:hint="eastAsia" w:ascii="宋体" w:hAnsi="宋体" w:eastAsia="宋体" w:cs="宋体"/>
          <w:color w:val="000000"/>
          <w:sz w:val="21"/>
          <w:szCs w:val="21"/>
        </w:rPr>
        <w:t>3、技术服务：自最终验收合格之日起3个工作日内，中选供应商必须将所有相关技术资料（包含并不仅限于：所提供产品的布局图、走线图、使用说明书、合格证、服务手册等）交采购人留存备案。</w:t>
      </w:r>
    </w:p>
    <w:p>
      <w:pPr>
        <w:ind w:firstLine="560"/>
        <w:rPr>
          <w:rFonts w:hint="eastAsia" w:ascii="宋体" w:hAnsi="宋体" w:eastAsia="宋体" w:cs="宋体"/>
          <w:color w:val="000000"/>
          <w:sz w:val="21"/>
          <w:szCs w:val="21"/>
        </w:rPr>
      </w:pPr>
      <w:r>
        <w:rPr>
          <w:rFonts w:hint="eastAsia" w:ascii="宋体" w:hAnsi="宋体" w:eastAsia="宋体" w:cs="宋体"/>
          <w:color w:val="000000"/>
          <w:sz w:val="21"/>
          <w:szCs w:val="21"/>
        </w:rPr>
        <w:t>4、中选供应商必须对其所提供的设备及采用的相关技术进行免费现场培训，以满足使用单位在日常存储、使用、操作等方面的需求。因培训而产生的一切费用均由中选供应商承担。</w:t>
      </w:r>
    </w:p>
    <w:p>
      <w:pPr>
        <w:rPr>
          <w:rFonts w:hint="eastAsia" w:ascii="宋体" w:hAnsi="宋体" w:eastAsia="宋体" w:cs="宋体"/>
          <w:b/>
          <w:sz w:val="21"/>
          <w:szCs w:val="21"/>
        </w:rPr>
      </w:pPr>
      <w:r>
        <w:rPr>
          <w:rFonts w:hint="eastAsia" w:ascii="宋体" w:hAnsi="宋体" w:eastAsia="宋体" w:cs="宋体"/>
          <w:b/>
          <w:sz w:val="21"/>
          <w:szCs w:val="21"/>
        </w:rPr>
        <w:t>（</w:t>
      </w:r>
      <w:r>
        <w:rPr>
          <w:rFonts w:hint="eastAsia" w:ascii="宋体" w:hAnsi="宋体" w:cs="宋体"/>
          <w:b/>
          <w:sz w:val="21"/>
          <w:szCs w:val="21"/>
          <w:lang w:val="en-US" w:eastAsia="zh-CN"/>
        </w:rPr>
        <w:t>2</w:t>
      </w:r>
      <w:r>
        <w:rPr>
          <w:rFonts w:hint="eastAsia" w:ascii="宋体" w:hAnsi="宋体" w:eastAsia="宋体" w:cs="宋体"/>
          <w:b/>
          <w:sz w:val="21"/>
          <w:szCs w:val="21"/>
        </w:rPr>
        <w:t>）交货地点：</w:t>
      </w:r>
    </w:p>
    <w:p>
      <w:pPr>
        <w:ind w:firstLine="464" w:firstLineChars="221"/>
        <w:rPr>
          <w:rFonts w:hint="eastAsia" w:ascii="宋体" w:hAnsi="宋体" w:eastAsia="宋体" w:cs="宋体"/>
          <w:sz w:val="21"/>
          <w:szCs w:val="21"/>
        </w:rPr>
      </w:pPr>
      <w:r>
        <w:rPr>
          <w:rFonts w:hint="eastAsia" w:ascii="宋体" w:hAnsi="宋体" w:eastAsia="宋体" w:cs="宋体"/>
          <w:sz w:val="21"/>
          <w:szCs w:val="21"/>
        </w:rPr>
        <w:t>江西古香今韵大健康产业有限公司指定地点。</w:t>
      </w:r>
    </w:p>
    <w:p>
      <w:pPr>
        <w:rPr>
          <w:rFonts w:hint="eastAsia" w:ascii="宋体" w:hAnsi="宋体" w:eastAsia="宋体" w:cs="宋体"/>
          <w:b/>
          <w:sz w:val="21"/>
          <w:szCs w:val="21"/>
        </w:rPr>
      </w:pPr>
      <w:r>
        <w:rPr>
          <w:rFonts w:hint="eastAsia" w:ascii="宋体" w:hAnsi="宋体" w:eastAsia="宋体" w:cs="宋体"/>
          <w:b/>
          <w:sz w:val="21"/>
          <w:szCs w:val="21"/>
        </w:rPr>
        <w:t>（</w:t>
      </w:r>
      <w:r>
        <w:rPr>
          <w:rFonts w:hint="eastAsia" w:ascii="宋体" w:hAnsi="宋体" w:cs="宋体"/>
          <w:b/>
          <w:sz w:val="21"/>
          <w:szCs w:val="21"/>
          <w:lang w:val="en-US" w:eastAsia="zh-CN"/>
        </w:rPr>
        <w:t>3</w:t>
      </w:r>
      <w:r>
        <w:rPr>
          <w:rFonts w:hint="eastAsia" w:ascii="宋体" w:hAnsi="宋体" w:eastAsia="宋体" w:cs="宋体"/>
          <w:b/>
          <w:sz w:val="21"/>
          <w:szCs w:val="21"/>
        </w:rPr>
        <w:t>）安装要求</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供应商在履行本合同时，应遵守我司各项管理制度，服从我司的安排和管理，安全操作，文明施工，保持环境卫生整洁，项目验收前要做好卫生清理工作，做好安全防范措施，如供应商因违反上述约定造成甲方人身、财产损害的，由供应商承担赔偿责任，同时供应商在合同履行过程中发生的任何人身伤亡事故，均由供应商承担一切法律责任及赔偿责任。</w:t>
      </w:r>
    </w:p>
    <w:p>
      <w:pPr>
        <w:rPr>
          <w:rFonts w:hint="eastAsia" w:ascii="宋体" w:hAnsi="宋体" w:eastAsia="宋体" w:cs="宋体"/>
          <w:b/>
          <w:sz w:val="21"/>
          <w:szCs w:val="21"/>
        </w:rPr>
      </w:pPr>
      <w:r>
        <w:rPr>
          <w:rFonts w:hint="eastAsia" w:ascii="宋体" w:hAnsi="宋体" w:eastAsia="宋体" w:cs="宋体"/>
          <w:b/>
          <w:sz w:val="21"/>
          <w:szCs w:val="21"/>
        </w:rPr>
        <w:t>（</w:t>
      </w:r>
      <w:r>
        <w:rPr>
          <w:rFonts w:hint="eastAsia" w:ascii="宋体" w:hAnsi="宋体" w:cs="宋体"/>
          <w:b/>
          <w:sz w:val="21"/>
          <w:szCs w:val="21"/>
          <w:lang w:val="en-US" w:eastAsia="zh-CN"/>
        </w:rPr>
        <w:t>4</w:t>
      </w:r>
      <w:r>
        <w:rPr>
          <w:rFonts w:hint="eastAsia" w:ascii="宋体" w:hAnsi="宋体" w:eastAsia="宋体" w:cs="宋体"/>
          <w:b/>
          <w:sz w:val="21"/>
          <w:szCs w:val="21"/>
        </w:rPr>
        <w:t>）项目验收</w:t>
      </w:r>
    </w:p>
    <w:p>
      <w:pPr>
        <w:ind w:firstLine="560"/>
        <w:rPr>
          <w:rFonts w:hint="eastAsia" w:ascii="宋体" w:hAnsi="宋体" w:eastAsia="宋体" w:cs="宋体"/>
          <w:sz w:val="21"/>
          <w:szCs w:val="21"/>
        </w:rPr>
      </w:pPr>
      <w:r>
        <w:rPr>
          <w:rFonts w:hint="eastAsia" w:ascii="宋体" w:hAnsi="宋体" w:eastAsia="宋体" w:cs="宋体"/>
          <w:sz w:val="21"/>
          <w:szCs w:val="21"/>
        </w:rPr>
        <w:t>1、中选供应商在交货及验收活动中必须遵守采购人的有关规定。</w:t>
      </w:r>
    </w:p>
    <w:p>
      <w:pPr>
        <w:ind w:firstLine="560"/>
        <w:rPr>
          <w:rFonts w:hint="eastAsia" w:ascii="宋体" w:hAnsi="宋体" w:eastAsia="宋体" w:cs="宋体"/>
          <w:sz w:val="21"/>
          <w:szCs w:val="21"/>
        </w:rPr>
      </w:pPr>
      <w:r>
        <w:rPr>
          <w:rFonts w:hint="eastAsia" w:ascii="宋体" w:hAnsi="宋体" w:eastAsia="宋体" w:cs="宋体"/>
          <w:sz w:val="21"/>
          <w:szCs w:val="21"/>
        </w:rPr>
        <w:t>2、中选供应商负责本次采购产品的运抵采购人指定的交货地点后由采购人严格按照比选文件、响应文件及答疑记录进行验收。</w:t>
      </w:r>
    </w:p>
    <w:p>
      <w:pPr>
        <w:ind w:firstLine="560"/>
        <w:rPr>
          <w:rFonts w:hint="eastAsia" w:ascii="宋体" w:hAnsi="宋体" w:eastAsia="宋体" w:cs="宋体"/>
          <w:sz w:val="21"/>
          <w:szCs w:val="21"/>
        </w:rPr>
      </w:pPr>
      <w:r>
        <w:rPr>
          <w:rFonts w:hint="eastAsia" w:ascii="宋体" w:hAnsi="宋体" w:eastAsia="宋体" w:cs="宋体"/>
          <w:sz w:val="21"/>
          <w:szCs w:val="21"/>
        </w:rPr>
        <w:t>3、最终验收：在收到中选供应商书面验收通知后，由采购人尽快组织相关人员依照相关标准、规范、要求、合同及有关附件要求进行验收。</w:t>
      </w:r>
    </w:p>
    <w:p>
      <w:pPr>
        <w:ind w:firstLine="560"/>
        <w:rPr>
          <w:rFonts w:hint="eastAsia" w:ascii="宋体" w:hAnsi="宋体" w:eastAsia="宋体" w:cs="宋体"/>
          <w:sz w:val="21"/>
          <w:szCs w:val="21"/>
        </w:rPr>
      </w:pPr>
      <w:r>
        <w:rPr>
          <w:rFonts w:hint="eastAsia" w:ascii="宋体" w:hAnsi="宋体" w:eastAsia="宋体" w:cs="宋体"/>
          <w:sz w:val="21"/>
          <w:szCs w:val="21"/>
        </w:rPr>
        <w:t>4、相关检验检测和验收费用全部由中选供应商承担。</w:t>
      </w:r>
    </w:p>
    <w:p>
      <w:pPr>
        <w:rPr>
          <w:rFonts w:hint="eastAsia" w:ascii="宋体" w:hAnsi="宋体" w:eastAsia="宋体" w:cs="宋体"/>
          <w:b/>
          <w:sz w:val="21"/>
          <w:szCs w:val="21"/>
        </w:rPr>
      </w:pPr>
      <w:r>
        <w:rPr>
          <w:rFonts w:hint="eastAsia" w:ascii="宋体" w:hAnsi="宋体" w:eastAsia="宋体" w:cs="宋体"/>
          <w:b/>
          <w:sz w:val="21"/>
          <w:szCs w:val="21"/>
        </w:rPr>
        <w:t>（</w:t>
      </w:r>
      <w:r>
        <w:rPr>
          <w:rFonts w:hint="eastAsia" w:ascii="宋体" w:hAnsi="宋体" w:cs="宋体"/>
          <w:b/>
          <w:sz w:val="21"/>
          <w:szCs w:val="21"/>
          <w:lang w:val="en-US" w:eastAsia="zh-CN"/>
        </w:rPr>
        <w:t>5</w:t>
      </w:r>
      <w:r>
        <w:rPr>
          <w:rFonts w:hint="eastAsia" w:ascii="宋体" w:hAnsi="宋体" w:eastAsia="宋体" w:cs="宋体"/>
          <w:b/>
          <w:sz w:val="21"/>
          <w:szCs w:val="21"/>
        </w:rPr>
        <w:t>）培训要求</w:t>
      </w:r>
    </w:p>
    <w:p>
      <w:pPr>
        <w:ind w:firstLine="560"/>
        <w:rPr>
          <w:rFonts w:hint="eastAsia" w:ascii="宋体" w:hAnsi="宋体" w:eastAsia="宋体" w:cs="宋体"/>
          <w:sz w:val="21"/>
          <w:szCs w:val="21"/>
        </w:rPr>
      </w:pPr>
      <w:r>
        <w:rPr>
          <w:rFonts w:hint="eastAsia" w:ascii="宋体" w:hAnsi="宋体" w:eastAsia="宋体" w:cs="宋体"/>
          <w:sz w:val="21"/>
          <w:szCs w:val="21"/>
        </w:rPr>
        <w:t>1、中选供应商应派遣其精通业务的、健康的、合格的技术人员到合同货物的安装现场提供技术服务。</w:t>
      </w:r>
    </w:p>
    <w:p>
      <w:pPr>
        <w:ind w:firstLine="560"/>
        <w:rPr>
          <w:rFonts w:hint="eastAsia" w:ascii="宋体" w:hAnsi="宋体" w:eastAsia="宋体" w:cs="宋体"/>
          <w:sz w:val="21"/>
          <w:szCs w:val="21"/>
        </w:rPr>
      </w:pPr>
      <w:r>
        <w:rPr>
          <w:rFonts w:hint="eastAsia" w:ascii="宋体" w:hAnsi="宋体" w:eastAsia="宋体" w:cs="宋体"/>
          <w:sz w:val="21"/>
          <w:szCs w:val="21"/>
        </w:rPr>
        <w:t>2、中选供应商将根据自身的培训政策和使用方的具体的要求，直接向采购人或使用单位提供培训，包括中选供应商提供的设备管理培训、技术培训和使用方要求的其他培训内容。</w:t>
      </w:r>
    </w:p>
    <w:p>
      <w:pPr>
        <w:spacing w:line="460" w:lineRule="exact"/>
        <w:ind w:firstLine="560"/>
        <w:rPr>
          <w:rFonts w:hint="eastAsia" w:ascii="宋体" w:hAnsi="宋体" w:eastAsia="宋体" w:cs="宋体"/>
          <w:sz w:val="21"/>
          <w:szCs w:val="21"/>
        </w:rPr>
      </w:pPr>
      <w:r>
        <w:rPr>
          <w:rFonts w:hint="eastAsia" w:ascii="宋体" w:hAnsi="宋体" w:eastAsia="宋体" w:cs="宋体"/>
          <w:sz w:val="21"/>
          <w:szCs w:val="21"/>
        </w:rPr>
        <w:t>3、以上培训内容的培训费用由中选供应商承担。</w:t>
      </w:r>
    </w:p>
    <w:p>
      <w:pPr>
        <w:rPr>
          <w:rFonts w:hint="eastAsia" w:ascii="宋体" w:hAnsi="宋体" w:eastAsia="宋体" w:cs="宋体"/>
          <w:b/>
          <w:bCs/>
          <w:sz w:val="21"/>
          <w:szCs w:val="21"/>
        </w:rPr>
      </w:pPr>
      <w:r>
        <w:rPr>
          <w:rFonts w:hint="eastAsia" w:ascii="宋体" w:hAnsi="宋体" w:eastAsia="宋体" w:cs="宋体"/>
          <w:b/>
          <w:bCs/>
          <w:sz w:val="21"/>
          <w:szCs w:val="21"/>
        </w:rPr>
        <w:t>五、设备名称及数量</w:t>
      </w:r>
    </w:p>
    <w:tbl>
      <w:tblPr>
        <w:tblStyle w:val="5"/>
        <w:tblW w:w="57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00"/>
        <w:gridCol w:w="3082"/>
        <w:gridCol w:w="135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92" w:hRule="atLeast"/>
          <w:jc w:val="center"/>
        </w:trPr>
        <w:tc>
          <w:tcPr>
            <w:tcW w:w="1300" w:type="dxa"/>
            <w:vAlign w:val="center"/>
          </w:tcPr>
          <w:p>
            <w:pPr>
              <w:widowControl/>
              <w:jc w:val="center"/>
              <w:textAlignment w:val="center"/>
              <w:rPr>
                <w:rFonts w:hint="eastAsia" w:ascii="宋体" w:hAnsi="宋体" w:eastAsia="宋体" w:cs="宋体"/>
                <w:b/>
                <w:bCs/>
                <w:sz w:val="21"/>
                <w:szCs w:val="21"/>
              </w:rPr>
            </w:pPr>
            <w:r>
              <w:rPr>
                <w:rFonts w:hint="eastAsia" w:ascii="宋体" w:hAnsi="宋体" w:eastAsia="宋体" w:cs="宋体"/>
                <w:b/>
                <w:bCs/>
                <w:kern w:val="0"/>
                <w:sz w:val="21"/>
                <w:szCs w:val="21"/>
              </w:rPr>
              <w:t>序号</w:t>
            </w:r>
          </w:p>
        </w:tc>
        <w:tc>
          <w:tcPr>
            <w:tcW w:w="3082" w:type="dxa"/>
            <w:vAlign w:val="center"/>
          </w:tcPr>
          <w:p>
            <w:pPr>
              <w:widowControl/>
              <w:jc w:val="center"/>
              <w:textAlignment w:val="center"/>
              <w:rPr>
                <w:rFonts w:hint="eastAsia" w:ascii="宋体" w:hAnsi="宋体" w:eastAsia="宋体" w:cs="宋体"/>
                <w:b/>
                <w:bCs/>
                <w:sz w:val="21"/>
                <w:szCs w:val="21"/>
              </w:rPr>
            </w:pPr>
            <w:r>
              <w:rPr>
                <w:rFonts w:hint="eastAsia" w:ascii="宋体" w:hAnsi="宋体" w:eastAsia="宋体" w:cs="宋体"/>
                <w:b/>
                <w:bCs/>
                <w:kern w:val="0"/>
                <w:sz w:val="21"/>
                <w:szCs w:val="21"/>
              </w:rPr>
              <w:t>名称</w:t>
            </w:r>
          </w:p>
        </w:tc>
        <w:tc>
          <w:tcPr>
            <w:tcW w:w="1357" w:type="dxa"/>
            <w:vAlign w:val="center"/>
          </w:tcPr>
          <w:p>
            <w:pPr>
              <w:widowControl/>
              <w:jc w:val="center"/>
              <w:textAlignment w:val="center"/>
              <w:rPr>
                <w:rFonts w:hint="eastAsia" w:ascii="宋体" w:hAnsi="宋体" w:eastAsia="宋体" w:cs="宋体"/>
                <w:b/>
                <w:bCs/>
                <w:sz w:val="21"/>
                <w:szCs w:val="21"/>
              </w:rPr>
            </w:pPr>
            <w:r>
              <w:rPr>
                <w:rFonts w:hint="eastAsia" w:ascii="宋体" w:hAnsi="宋体" w:eastAsia="宋体" w:cs="宋体"/>
                <w:b/>
                <w:bCs/>
                <w:kern w:val="0"/>
                <w:sz w:val="21"/>
                <w:szCs w:val="21"/>
              </w:rPr>
              <w:t>数量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46" w:hRule="atLeast"/>
          <w:jc w:val="center"/>
        </w:trPr>
        <w:tc>
          <w:tcPr>
            <w:tcW w:w="1300" w:type="dxa"/>
            <w:vAlign w:val="center"/>
          </w:tcPr>
          <w:p>
            <w:pPr>
              <w:widowControl/>
              <w:jc w:val="center"/>
              <w:textAlignment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3082" w:type="dxa"/>
            <w:vAlign w:val="center"/>
          </w:tcPr>
          <w:p>
            <w:pPr>
              <w:widowControl/>
              <w:jc w:val="left"/>
              <w:textAlignment w:val="center"/>
              <w:rPr>
                <w:rFonts w:hint="eastAsia" w:ascii="宋体" w:hAnsi="宋体" w:eastAsia="宋体" w:cs="宋体"/>
                <w:sz w:val="21"/>
                <w:szCs w:val="21"/>
              </w:rPr>
            </w:pPr>
            <w:r>
              <w:rPr>
                <w:rFonts w:hint="eastAsia" w:ascii="宋体" w:hAnsi="宋体" w:eastAsia="宋体" w:cs="宋体"/>
                <w:kern w:val="0"/>
                <w:sz w:val="21"/>
                <w:szCs w:val="21"/>
              </w:rPr>
              <w:t>气相色谱仪（进口）</w:t>
            </w:r>
          </w:p>
        </w:tc>
        <w:tc>
          <w:tcPr>
            <w:tcW w:w="1357" w:type="dxa"/>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kern w:val="0"/>
                <w:sz w:val="21"/>
                <w:szCs w:val="21"/>
              </w:rPr>
              <w:t>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980" w:hRule="atLeast"/>
          <w:jc w:val="center"/>
        </w:trPr>
        <w:tc>
          <w:tcPr>
            <w:tcW w:w="1300" w:type="dxa"/>
            <w:vAlign w:val="center"/>
          </w:tcPr>
          <w:p>
            <w:pPr>
              <w:widowControl/>
              <w:jc w:val="center"/>
              <w:textAlignment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3082" w:type="dxa"/>
            <w:vAlign w:val="center"/>
          </w:tcPr>
          <w:p>
            <w:pPr>
              <w:widowControl/>
              <w:jc w:val="left"/>
              <w:textAlignment w:val="center"/>
              <w:rPr>
                <w:rFonts w:hint="eastAsia" w:ascii="宋体" w:hAnsi="宋体" w:eastAsia="宋体" w:cs="宋体"/>
                <w:kern w:val="0"/>
                <w:sz w:val="21"/>
                <w:szCs w:val="21"/>
              </w:rPr>
            </w:pPr>
            <w:r>
              <w:rPr>
                <w:rFonts w:hint="eastAsia" w:ascii="宋体" w:hAnsi="宋体" w:eastAsia="宋体" w:cs="宋体"/>
                <w:kern w:val="0"/>
                <w:sz w:val="21"/>
                <w:szCs w:val="21"/>
              </w:rPr>
              <w:t>三重四极杆气质联用仪（进口）</w:t>
            </w:r>
          </w:p>
        </w:tc>
        <w:tc>
          <w:tcPr>
            <w:tcW w:w="1357" w:type="dxa"/>
            <w:vAlign w:val="center"/>
          </w:tcPr>
          <w:p>
            <w:pPr>
              <w:widowControl/>
              <w:jc w:val="center"/>
              <w:textAlignment w:val="center"/>
              <w:rPr>
                <w:rFonts w:hint="eastAsia" w:ascii="宋体" w:hAnsi="宋体" w:eastAsia="宋体" w:cs="宋体"/>
                <w:kern w:val="0"/>
                <w:sz w:val="21"/>
                <w:szCs w:val="21"/>
              </w:rPr>
            </w:pPr>
            <w:r>
              <w:rPr>
                <w:rFonts w:hint="eastAsia" w:ascii="宋体" w:hAnsi="宋体" w:eastAsia="宋体" w:cs="宋体"/>
                <w:kern w:val="0"/>
                <w:sz w:val="21"/>
                <w:szCs w:val="21"/>
              </w:rPr>
              <w:t>1</w:t>
            </w:r>
          </w:p>
        </w:tc>
      </w:tr>
    </w:tbl>
    <w:p>
      <w:pPr>
        <w:rPr>
          <w:rFonts w:hint="eastAsia" w:ascii="宋体" w:hAnsi="宋体" w:eastAsia="宋体" w:cs="宋体"/>
          <w:b/>
          <w:bCs/>
          <w:sz w:val="21"/>
          <w:szCs w:val="21"/>
        </w:rPr>
      </w:pPr>
      <w:r>
        <w:rPr>
          <w:rFonts w:hint="eastAsia" w:ascii="宋体" w:hAnsi="宋体" w:eastAsia="宋体" w:cs="宋体"/>
          <w:b/>
          <w:bCs/>
          <w:sz w:val="21"/>
          <w:szCs w:val="21"/>
        </w:rPr>
        <w:t>本项目进口设备投标报价均为含税价格且包括进口代理费用</w:t>
      </w:r>
    </w:p>
    <w:p>
      <w:pPr>
        <w:rPr>
          <w:rFonts w:hint="eastAsia" w:ascii="宋体" w:hAnsi="宋体" w:eastAsia="宋体" w:cs="宋体"/>
          <w:b/>
          <w:bCs/>
          <w:sz w:val="21"/>
          <w:szCs w:val="21"/>
        </w:rPr>
      </w:pPr>
      <w:r>
        <w:rPr>
          <w:rFonts w:hint="eastAsia" w:ascii="宋体" w:hAnsi="宋体" w:eastAsia="宋体" w:cs="宋体"/>
          <w:b/>
          <w:bCs/>
          <w:sz w:val="21"/>
          <w:szCs w:val="21"/>
        </w:rPr>
        <w:t>供应商须提供所响应进口产品制造商或国内总代理针对本项目出具的有效授权书、技术参数确认函及售后服务承诺函。</w:t>
      </w:r>
    </w:p>
    <w:p>
      <w:pPr>
        <w:rPr>
          <w:rFonts w:hint="eastAsia" w:ascii="宋体" w:hAnsi="宋体" w:eastAsia="宋体" w:cs="宋体"/>
          <w:b/>
          <w:bCs/>
          <w:sz w:val="21"/>
          <w:szCs w:val="21"/>
        </w:rPr>
      </w:pPr>
      <w:r>
        <w:rPr>
          <w:rFonts w:hint="eastAsia" w:ascii="宋体" w:hAnsi="宋体" w:eastAsia="宋体" w:cs="宋体"/>
          <w:b/>
          <w:bCs/>
          <w:sz w:val="21"/>
          <w:szCs w:val="21"/>
        </w:rPr>
        <w:t>六、详细参数及技术要求</w:t>
      </w:r>
      <w:bookmarkStart w:id="0" w:name="_Toc46845425"/>
      <w:bookmarkStart w:id="1" w:name="_Toc46842391"/>
      <w:bookmarkStart w:id="2" w:name="_Toc92587001_WPSOffice_Level2"/>
    </w:p>
    <w:p>
      <w:pPr>
        <w:rPr>
          <w:rFonts w:hint="eastAsia" w:ascii="宋体" w:hAnsi="宋体" w:eastAsia="宋体" w:cs="宋体"/>
          <w:b/>
          <w:bCs/>
          <w:sz w:val="21"/>
          <w:szCs w:val="21"/>
        </w:rPr>
      </w:pPr>
      <w:r>
        <w:rPr>
          <w:rFonts w:hint="eastAsia" w:ascii="宋体" w:hAnsi="宋体" w:cs="宋体"/>
          <w:b/>
          <w:bCs/>
          <w:sz w:val="21"/>
          <w:szCs w:val="21"/>
          <w:lang w:eastAsia="zh-CN"/>
        </w:rPr>
        <w:t>（</w:t>
      </w:r>
      <w:r>
        <w:rPr>
          <w:rFonts w:hint="eastAsia" w:ascii="宋体" w:hAnsi="宋体" w:cs="宋体"/>
          <w:b/>
          <w:bCs/>
          <w:sz w:val="21"/>
          <w:szCs w:val="21"/>
          <w:lang w:val="en-US" w:eastAsia="zh-CN"/>
        </w:rPr>
        <w:t>1</w:t>
      </w:r>
      <w:r>
        <w:rPr>
          <w:rFonts w:hint="eastAsia" w:ascii="宋体" w:hAnsi="宋体" w:cs="宋体"/>
          <w:b/>
          <w:bCs/>
          <w:sz w:val="21"/>
          <w:szCs w:val="21"/>
          <w:lang w:eastAsia="zh-CN"/>
        </w:rPr>
        <w:t>）</w:t>
      </w:r>
      <w:r>
        <w:rPr>
          <w:rFonts w:hint="eastAsia" w:ascii="宋体" w:hAnsi="宋体" w:eastAsia="宋体" w:cs="宋体"/>
          <w:b/>
          <w:bCs/>
          <w:sz w:val="21"/>
          <w:szCs w:val="21"/>
        </w:rPr>
        <w:t>气相色谱仪（进口）</w:t>
      </w:r>
    </w:p>
    <w:p>
      <w:pPr>
        <w:tabs>
          <w:tab w:val="left" w:pos="50"/>
        </w:tabs>
        <w:spacing w:line="276" w:lineRule="auto"/>
        <w:rPr>
          <w:rFonts w:hint="eastAsia" w:ascii="宋体" w:hAnsi="宋体" w:eastAsia="宋体" w:cs="宋体"/>
          <w:b/>
          <w:sz w:val="21"/>
          <w:szCs w:val="21"/>
        </w:rPr>
      </w:pPr>
      <w:r>
        <w:rPr>
          <w:rFonts w:hint="eastAsia" w:ascii="宋体" w:hAnsi="宋体" w:eastAsia="宋体" w:cs="宋体"/>
          <w:b/>
          <w:sz w:val="21"/>
          <w:szCs w:val="21"/>
        </w:rPr>
        <w:t>1、运行环境</w:t>
      </w:r>
    </w:p>
    <w:p>
      <w:pPr>
        <w:widowControl/>
        <w:numPr>
          <w:ilvl w:val="1"/>
          <w:numId w:val="2"/>
        </w:numPr>
        <w:tabs>
          <w:tab w:val="left" w:pos="50"/>
        </w:tabs>
        <w:spacing w:line="276" w:lineRule="auto"/>
        <w:rPr>
          <w:rFonts w:hint="eastAsia" w:ascii="宋体" w:hAnsi="宋体" w:eastAsia="宋体" w:cs="宋体"/>
          <w:sz w:val="21"/>
          <w:szCs w:val="21"/>
        </w:rPr>
      </w:pPr>
      <w:r>
        <w:rPr>
          <w:rFonts w:hint="eastAsia" w:ascii="宋体" w:hAnsi="宋体" w:eastAsia="宋体" w:cs="宋体"/>
          <w:sz w:val="21"/>
          <w:szCs w:val="21"/>
        </w:rPr>
        <w:t>电源：</w:t>
      </w:r>
      <w:r>
        <w:rPr>
          <w:rFonts w:hint="eastAsia" w:ascii="宋体" w:hAnsi="宋体" w:eastAsia="宋体" w:cs="宋体"/>
          <w:sz w:val="21"/>
          <w:szCs w:val="21"/>
          <w:highlight w:val="white"/>
        </w:rPr>
        <w:t>AC220V±10%，50/60Hz±5%</w:t>
      </w:r>
    </w:p>
    <w:p>
      <w:pPr>
        <w:widowControl/>
        <w:numPr>
          <w:ilvl w:val="1"/>
          <w:numId w:val="2"/>
        </w:numPr>
        <w:tabs>
          <w:tab w:val="left" w:pos="50"/>
        </w:tabs>
        <w:spacing w:line="276" w:lineRule="auto"/>
        <w:rPr>
          <w:rFonts w:hint="eastAsia" w:ascii="宋体" w:hAnsi="宋体" w:eastAsia="宋体" w:cs="宋体"/>
          <w:sz w:val="21"/>
          <w:szCs w:val="21"/>
        </w:rPr>
      </w:pPr>
      <w:r>
        <w:rPr>
          <w:rFonts w:hint="eastAsia" w:ascii="宋体" w:hAnsi="宋体" w:eastAsia="宋体" w:cs="宋体"/>
          <w:sz w:val="21"/>
          <w:szCs w:val="21"/>
        </w:rPr>
        <w:t>环境温度： 15˚C-35˚C</w:t>
      </w:r>
    </w:p>
    <w:p>
      <w:pPr>
        <w:widowControl/>
        <w:numPr>
          <w:ilvl w:val="1"/>
          <w:numId w:val="2"/>
        </w:numPr>
        <w:tabs>
          <w:tab w:val="left" w:pos="50"/>
        </w:tabs>
        <w:spacing w:line="276" w:lineRule="auto"/>
        <w:rPr>
          <w:rFonts w:hint="eastAsia" w:ascii="宋体" w:hAnsi="宋体" w:eastAsia="宋体" w:cs="宋体"/>
          <w:sz w:val="21"/>
          <w:szCs w:val="21"/>
        </w:rPr>
      </w:pPr>
      <w:r>
        <w:rPr>
          <w:rFonts w:hint="eastAsia" w:ascii="宋体" w:hAnsi="宋体" w:eastAsia="宋体" w:cs="宋体"/>
          <w:sz w:val="21"/>
          <w:szCs w:val="21"/>
        </w:rPr>
        <w:t>相对湿度： 20-80%</w:t>
      </w:r>
    </w:p>
    <w:p>
      <w:pPr>
        <w:spacing w:line="460" w:lineRule="exact"/>
        <w:rPr>
          <w:rFonts w:hint="eastAsia" w:ascii="宋体" w:hAnsi="宋体" w:eastAsia="宋体" w:cs="宋体"/>
          <w:b/>
          <w:sz w:val="21"/>
          <w:szCs w:val="21"/>
        </w:rPr>
      </w:pPr>
      <w:r>
        <w:rPr>
          <w:rFonts w:hint="eastAsia" w:ascii="宋体" w:hAnsi="宋体" w:eastAsia="宋体" w:cs="宋体"/>
          <w:b/>
          <w:sz w:val="21"/>
          <w:szCs w:val="21"/>
        </w:rPr>
        <w:t>2、技术要求及参数</w:t>
      </w:r>
    </w:p>
    <w:p>
      <w:pPr>
        <w:spacing w:line="460" w:lineRule="exact"/>
        <w:rPr>
          <w:rFonts w:hint="eastAsia" w:ascii="宋体" w:hAnsi="宋体" w:eastAsia="宋体" w:cs="宋体"/>
          <w:b/>
          <w:sz w:val="21"/>
          <w:szCs w:val="21"/>
          <w:highlight w:val="white"/>
        </w:rPr>
      </w:pPr>
      <w:r>
        <w:rPr>
          <w:rFonts w:hint="eastAsia" w:ascii="宋体" w:hAnsi="宋体" w:eastAsia="宋体" w:cs="宋体"/>
          <w:b/>
          <w:sz w:val="21"/>
          <w:szCs w:val="21"/>
          <w:highlight w:val="white"/>
        </w:rPr>
        <w:t>2.1整体性能</w:t>
      </w:r>
    </w:p>
    <w:p>
      <w:pPr>
        <w:spacing w:line="460" w:lineRule="exact"/>
        <w:rPr>
          <w:rFonts w:hint="eastAsia" w:ascii="宋体" w:hAnsi="宋体" w:eastAsia="宋体" w:cs="宋体"/>
          <w:sz w:val="21"/>
          <w:szCs w:val="21"/>
        </w:rPr>
      </w:pPr>
      <w:r>
        <w:rPr>
          <w:rFonts w:hint="eastAsia" w:ascii="宋体" w:hAnsi="宋体" w:eastAsia="宋体" w:cs="宋体"/>
          <w:sz w:val="21"/>
          <w:szCs w:val="21"/>
        </w:rPr>
        <w:t>2.1.1 保留时间重现性&lt;0.008% 或&lt;0.0008 分钟，峰面积重现性&lt;2% RSD</w:t>
      </w:r>
    </w:p>
    <w:p>
      <w:pPr>
        <w:spacing w:line="460" w:lineRule="exact"/>
        <w:rPr>
          <w:rFonts w:hint="eastAsia" w:ascii="宋体" w:hAnsi="宋体" w:eastAsia="宋体" w:cs="宋体"/>
          <w:sz w:val="21"/>
          <w:szCs w:val="21"/>
        </w:rPr>
      </w:pPr>
      <w:r>
        <w:rPr>
          <w:rFonts w:hint="eastAsia" w:ascii="宋体" w:hAnsi="宋体" w:eastAsia="宋体" w:cs="宋体"/>
          <w:sz w:val="21"/>
          <w:szCs w:val="21"/>
        </w:rPr>
        <w:t>2.1.2 具备远程智能访问功能，可从任何浏览器（手机、平板电脑、笔记本电脑或台式机）进行访问，无需色谱工作站即可编辑 GC 方法和序列，可以查看设置信息、解决问题、检查泄漏（自动，无需人工）、反吹色谱柱、暂停和启动样品运行，并管理方法开发。</w:t>
      </w:r>
    </w:p>
    <w:p>
      <w:pPr>
        <w:spacing w:line="460" w:lineRule="exact"/>
        <w:rPr>
          <w:rFonts w:hint="eastAsia" w:ascii="宋体" w:hAnsi="宋体" w:eastAsia="宋体" w:cs="宋体"/>
          <w:sz w:val="21"/>
          <w:szCs w:val="21"/>
        </w:rPr>
      </w:pPr>
      <w:r>
        <w:rPr>
          <w:rFonts w:hint="eastAsia" w:ascii="宋体" w:hAnsi="宋体" w:eastAsia="宋体" w:cs="宋体"/>
          <w:sz w:val="21"/>
          <w:szCs w:val="21"/>
        </w:rPr>
        <w:t>2.1.3 可以使用先进的一体化分析技术自动评估空白，从而监测气相色谱仪性能。</w:t>
      </w:r>
    </w:p>
    <w:p>
      <w:pPr>
        <w:spacing w:line="460" w:lineRule="exact"/>
        <w:rPr>
          <w:rFonts w:hint="eastAsia" w:ascii="宋体" w:hAnsi="宋体" w:eastAsia="宋体" w:cs="宋体"/>
          <w:sz w:val="21"/>
          <w:szCs w:val="21"/>
        </w:rPr>
      </w:pPr>
      <w:r>
        <w:rPr>
          <w:rFonts w:hint="eastAsia" w:ascii="宋体" w:hAnsi="宋体" w:eastAsia="宋体" w:cs="宋体"/>
          <w:b/>
          <w:sz w:val="21"/>
          <w:szCs w:val="21"/>
          <w:highlight w:val="white"/>
        </w:rPr>
        <w:t>2.2柱箱</w:t>
      </w:r>
    </w:p>
    <w:p>
      <w:pPr>
        <w:spacing w:line="460" w:lineRule="exact"/>
        <w:rPr>
          <w:rFonts w:hint="eastAsia" w:ascii="宋体" w:hAnsi="宋体" w:eastAsia="宋体" w:cs="宋体"/>
          <w:sz w:val="21"/>
          <w:szCs w:val="21"/>
        </w:rPr>
      </w:pPr>
      <w:r>
        <w:rPr>
          <w:rFonts w:hint="eastAsia" w:ascii="宋体" w:hAnsi="宋体" w:eastAsia="宋体" w:cs="宋体"/>
          <w:sz w:val="21"/>
          <w:szCs w:val="21"/>
        </w:rPr>
        <w:t>2.2.1 温度范围：室温以上4℃～450℃</w:t>
      </w:r>
    </w:p>
    <w:p>
      <w:pPr>
        <w:spacing w:line="460" w:lineRule="exact"/>
        <w:rPr>
          <w:rFonts w:hint="eastAsia" w:ascii="宋体" w:hAnsi="宋体" w:eastAsia="宋体" w:cs="宋体"/>
          <w:sz w:val="21"/>
          <w:szCs w:val="21"/>
        </w:rPr>
      </w:pPr>
      <w:r>
        <w:rPr>
          <w:rFonts w:hint="eastAsia" w:ascii="宋体" w:hAnsi="宋体" w:eastAsia="宋体" w:cs="宋体"/>
          <w:sz w:val="21"/>
          <w:szCs w:val="21"/>
        </w:rPr>
        <w:t>2.2.2 温度设定精度：0.1℃</w:t>
      </w:r>
    </w:p>
    <w:p>
      <w:pPr>
        <w:spacing w:line="460" w:lineRule="exact"/>
        <w:rPr>
          <w:rFonts w:hint="eastAsia" w:ascii="宋体" w:hAnsi="宋体" w:eastAsia="宋体" w:cs="宋体"/>
          <w:sz w:val="21"/>
          <w:szCs w:val="21"/>
        </w:rPr>
      </w:pPr>
      <w:r>
        <w:rPr>
          <w:rFonts w:hint="eastAsia" w:ascii="宋体" w:hAnsi="宋体" w:eastAsia="宋体" w:cs="宋体"/>
          <w:sz w:val="21"/>
          <w:szCs w:val="21"/>
        </w:rPr>
        <w:t>2.2.3 最大升温速度120 ℃/min</w:t>
      </w:r>
    </w:p>
    <w:p>
      <w:pPr>
        <w:spacing w:line="460" w:lineRule="exact"/>
        <w:rPr>
          <w:rFonts w:hint="eastAsia" w:ascii="宋体" w:hAnsi="宋体" w:eastAsia="宋体" w:cs="宋体"/>
          <w:sz w:val="21"/>
          <w:szCs w:val="21"/>
        </w:rPr>
      </w:pPr>
      <w:r>
        <w:rPr>
          <w:rFonts w:hint="eastAsia" w:ascii="宋体" w:hAnsi="宋体" w:eastAsia="宋体" w:cs="宋体"/>
          <w:sz w:val="21"/>
          <w:szCs w:val="21"/>
        </w:rPr>
        <w:t>2.2.4 温度稳定性：当环境温度变化1℃时，优于0.01℃</w:t>
      </w:r>
    </w:p>
    <w:p>
      <w:pPr>
        <w:spacing w:line="460" w:lineRule="exact"/>
        <w:rPr>
          <w:rFonts w:hint="eastAsia" w:ascii="宋体" w:hAnsi="宋体" w:eastAsia="宋体" w:cs="宋体"/>
          <w:sz w:val="21"/>
          <w:szCs w:val="21"/>
        </w:rPr>
      </w:pPr>
      <w:r>
        <w:rPr>
          <w:rFonts w:hint="eastAsia" w:ascii="宋体" w:hAnsi="宋体" w:eastAsia="宋体" w:cs="宋体"/>
          <w:sz w:val="21"/>
          <w:szCs w:val="21"/>
        </w:rPr>
        <w:t>2.2.5 程序升温：20阶21平台</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rPr>
        <w:t>2.2.6</w:t>
      </w:r>
      <w:r>
        <w:rPr>
          <w:rFonts w:hint="eastAsia" w:ascii="宋体" w:hAnsi="宋体" w:eastAsia="宋体" w:cs="宋体"/>
          <w:sz w:val="21"/>
          <w:szCs w:val="21"/>
          <w:highlight w:val="white"/>
        </w:rPr>
        <w:t xml:space="preserve"> 降温速率：从450℃降至50℃＜4.5 min（22℃室温下）；</w:t>
      </w:r>
    </w:p>
    <w:p>
      <w:pPr>
        <w:spacing w:line="460" w:lineRule="exact"/>
        <w:rPr>
          <w:rFonts w:hint="eastAsia" w:ascii="宋体" w:hAnsi="宋体" w:eastAsia="宋体" w:cs="宋体"/>
          <w:b/>
          <w:sz w:val="21"/>
          <w:szCs w:val="21"/>
        </w:rPr>
      </w:pPr>
      <w:r>
        <w:rPr>
          <w:rFonts w:hint="eastAsia" w:ascii="宋体" w:hAnsi="宋体" w:eastAsia="宋体" w:cs="宋体"/>
          <w:b/>
          <w:sz w:val="21"/>
          <w:szCs w:val="21"/>
          <w:highlight w:val="white"/>
        </w:rPr>
        <w:t>2.3分流/不分流毛细管柱进样口（带电子气路控制，简称EPC）</w:t>
      </w:r>
    </w:p>
    <w:p>
      <w:pPr>
        <w:spacing w:line="460" w:lineRule="exact"/>
        <w:rPr>
          <w:rFonts w:hint="eastAsia" w:ascii="宋体" w:hAnsi="宋体" w:eastAsia="宋体" w:cs="宋体"/>
          <w:sz w:val="21"/>
          <w:szCs w:val="21"/>
        </w:rPr>
      </w:pPr>
      <w:r>
        <w:rPr>
          <w:rFonts w:hint="eastAsia" w:ascii="宋体" w:hAnsi="宋体" w:eastAsia="宋体" w:cs="宋体"/>
          <w:sz w:val="21"/>
          <w:szCs w:val="21"/>
        </w:rPr>
        <w:t>2.3.1 可编程电子参数设定压力、流速、分流比</w:t>
      </w:r>
    </w:p>
    <w:p>
      <w:pPr>
        <w:spacing w:line="460" w:lineRule="exact"/>
        <w:rPr>
          <w:rFonts w:hint="eastAsia" w:ascii="宋体" w:hAnsi="宋体" w:eastAsia="宋体" w:cs="宋体"/>
          <w:sz w:val="21"/>
          <w:szCs w:val="21"/>
        </w:rPr>
      </w:pPr>
      <w:r>
        <w:rPr>
          <w:rFonts w:hint="eastAsia" w:ascii="宋体" w:hAnsi="宋体" w:eastAsia="宋体" w:cs="宋体"/>
          <w:sz w:val="21"/>
          <w:szCs w:val="21"/>
        </w:rPr>
        <w:t>2.3.2 最高使用温度400℃</w:t>
      </w:r>
    </w:p>
    <w:p>
      <w:pPr>
        <w:spacing w:line="460" w:lineRule="exact"/>
        <w:rPr>
          <w:rFonts w:hint="eastAsia" w:ascii="宋体" w:hAnsi="宋体" w:eastAsia="宋体" w:cs="宋体"/>
          <w:sz w:val="21"/>
          <w:szCs w:val="21"/>
        </w:rPr>
      </w:pPr>
      <w:r>
        <w:rPr>
          <w:rFonts w:hint="eastAsia" w:ascii="宋体" w:hAnsi="宋体" w:eastAsia="宋体" w:cs="宋体"/>
          <w:sz w:val="21"/>
          <w:szCs w:val="21"/>
        </w:rPr>
        <w:t>2.3.3 进样口：快速进样口扳转系统设计，更换衬管无需要拆卸螺丝</w:t>
      </w:r>
    </w:p>
    <w:p>
      <w:pPr>
        <w:spacing w:line="460" w:lineRule="exact"/>
        <w:rPr>
          <w:rFonts w:hint="eastAsia" w:ascii="宋体" w:hAnsi="宋体" w:eastAsia="宋体" w:cs="宋体"/>
          <w:sz w:val="21"/>
          <w:szCs w:val="21"/>
        </w:rPr>
      </w:pPr>
      <w:r>
        <w:rPr>
          <w:rFonts w:hint="eastAsia" w:ascii="宋体" w:hAnsi="宋体" w:eastAsia="宋体" w:cs="宋体"/>
          <w:sz w:val="21"/>
          <w:szCs w:val="21"/>
        </w:rPr>
        <w:t>2.3.4 压力设定范围：0～100psi</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rPr>
        <w:t xml:space="preserve">2.3.5 </w:t>
      </w:r>
      <w:r>
        <w:rPr>
          <w:rFonts w:hint="eastAsia" w:ascii="宋体" w:hAnsi="宋体" w:eastAsia="宋体" w:cs="宋体"/>
          <w:sz w:val="21"/>
          <w:szCs w:val="21"/>
          <w:highlight w:val="white"/>
        </w:rPr>
        <w:t>流量设定范围：0～500ml/min（以N</w:t>
      </w:r>
      <w:r>
        <w:rPr>
          <w:rFonts w:hint="eastAsia" w:ascii="宋体" w:hAnsi="宋体" w:eastAsia="宋体" w:cs="宋体"/>
          <w:sz w:val="21"/>
          <w:szCs w:val="21"/>
          <w:highlight w:val="white"/>
          <w:vertAlign w:val="subscript"/>
        </w:rPr>
        <w:t>2</w:t>
      </w:r>
      <w:r>
        <w:rPr>
          <w:rFonts w:hint="eastAsia" w:ascii="宋体" w:hAnsi="宋体" w:eastAsia="宋体" w:cs="宋体"/>
          <w:sz w:val="21"/>
          <w:szCs w:val="21"/>
          <w:highlight w:val="white"/>
        </w:rPr>
        <w:t>为载气）</w:t>
      </w:r>
    </w:p>
    <w:p>
      <w:pPr>
        <w:spacing w:line="460" w:lineRule="exact"/>
        <w:ind w:firstLine="2551"/>
        <w:rPr>
          <w:rFonts w:hint="eastAsia" w:ascii="宋体" w:hAnsi="宋体" w:eastAsia="宋体" w:cs="宋体"/>
          <w:sz w:val="21"/>
          <w:szCs w:val="21"/>
          <w:highlight w:val="white"/>
        </w:rPr>
      </w:pPr>
      <w:r>
        <w:rPr>
          <w:rFonts w:hint="eastAsia" w:ascii="宋体" w:hAnsi="宋体" w:eastAsia="宋体" w:cs="宋体"/>
          <w:sz w:val="21"/>
          <w:szCs w:val="21"/>
          <w:highlight w:val="white"/>
        </w:rPr>
        <w:t>0～1250ml/min（以H</w:t>
      </w:r>
      <w:r>
        <w:rPr>
          <w:rFonts w:hint="eastAsia" w:ascii="宋体" w:hAnsi="宋体" w:eastAsia="宋体" w:cs="宋体"/>
          <w:sz w:val="21"/>
          <w:szCs w:val="21"/>
          <w:highlight w:val="white"/>
          <w:vertAlign w:val="subscript"/>
        </w:rPr>
        <w:t>2</w:t>
      </w:r>
      <w:r>
        <w:rPr>
          <w:rFonts w:hint="eastAsia" w:ascii="宋体" w:hAnsi="宋体" w:eastAsia="宋体" w:cs="宋体"/>
          <w:sz w:val="21"/>
          <w:szCs w:val="21"/>
          <w:highlight w:val="white"/>
        </w:rPr>
        <w:t>，He为载气）</w:t>
      </w:r>
    </w:p>
    <w:p>
      <w:pPr>
        <w:tabs>
          <w:tab w:val="left" w:pos="851"/>
        </w:tabs>
        <w:spacing w:line="460" w:lineRule="exact"/>
        <w:rPr>
          <w:rFonts w:hint="eastAsia" w:ascii="宋体" w:hAnsi="宋体" w:eastAsia="宋体" w:cs="宋体"/>
          <w:b/>
          <w:sz w:val="21"/>
          <w:szCs w:val="21"/>
        </w:rPr>
      </w:pPr>
      <w:r>
        <w:rPr>
          <w:rFonts w:hint="eastAsia" w:ascii="宋体" w:hAnsi="宋体" w:eastAsia="宋体" w:cs="宋体"/>
          <w:b/>
          <w:sz w:val="21"/>
          <w:szCs w:val="21"/>
          <w:highlight w:val="white"/>
        </w:rPr>
        <w:t>2.4电子压力控制（EPC）</w:t>
      </w:r>
    </w:p>
    <w:p>
      <w:pPr>
        <w:spacing w:line="460" w:lineRule="exact"/>
        <w:rPr>
          <w:rFonts w:hint="eastAsia" w:ascii="宋体" w:hAnsi="宋体" w:eastAsia="宋体" w:cs="宋体"/>
          <w:sz w:val="21"/>
          <w:szCs w:val="21"/>
        </w:rPr>
      </w:pPr>
      <w:r>
        <w:rPr>
          <w:rFonts w:hint="eastAsia" w:ascii="宋体" w:hAnsi="宋体" w:eastAsia="宋体" w:cs="宋体"/>
          <w:sz w:val="21"/>
          <w:szCs w:val="21"/>
        </w:rPr>
        <w:t>2.4.1 自动海拔高度压力及室温补偿</w:t>
      </w:r>
    </w:p>
    <w:p>
      <w:pPr>
        <w:spacing w:line="460" w:lineRule="exact"/>
        <w:rPr>
          <w:rFonts w:hint="eastAsia" w:ascii="宋体" w:hAnsi="宋体" w:eastAsia="宋体" w:cs="宋体"/>
          <w:sz w:val="21"/>
          <w:szCs w:val="21"/>
        </w:rPr>
      </w:pPr>
      <w:r>
        <w:rPr>
          <w:rFonts w:hint="eastAsia" w:ascii="宋体" w:hAnsi="宋体" w:eastAsia="宋体" w:cs="宋体"/>
          <w:sz w:val="21"/>
          <w:szCs w:val="21"/>
        </w:rPr>
        <w:t>2.4.2 压力控制精度0.001psi</w:t>
      </w:r>
    </w:p>
    <w:p>
      <w:pPr>
        <w:spacing w:line="460" w:lineRule="exact"/>
        <w:ind w:left="1" w:hanging="1"/>
        <w:rPr>
          <w:rFonts w:hint="eastAsia" w:ascii="宋体" w:hAnsi="宋体" w:eastAsia="宋体" w:cs="宋体"/>
          <w:sz w:val="21"/>
          <w:szCs w:val="21"/>
        </w:rPr>
      </w:pPr>
      <w:r>
        <w:rPr>
          <w:rFonts w:hint="eastAsia" w:ascii="宋体" w:hAnsi="宋体" w:eastAsia="宋体" w:cs="宋体"/>
          <w:sz w:val="21"/>
          <w:szCs w:val="21"/>
        </w:rPr>
        <w:t>2.4.3 具有恒流，恒压，程序增加流速，程序升压及压力脉冲等操作模式的电子气路控制</w:t>
      </w:r>
    </w:p>
    <w:p>
      <w:pPr>
        <w:spacing w:line="276" w:lineRule="auto"/>
        <w:rPr>
          <w:rFonts w:hint="eastAsia" w:ascii="宋体" w:hAnsi="宋体" w:eastAsia="宋体" w:cs="宋体"/>
          <w:sz w:val="21"/>
          <w:szCs w:val="21"/>
        </w:rPr>
      </w:pPr>
      <w:r>
        <w:rPr>
          <w:rFonts w:hint="eastAsia" w:ascii="宋体" w:hAnsi="宋体" w:eastAsia="宋体" w:cs="宋体"/>
          <w:sz w:val="21"/>
          <w:szCs w:val="21"/>
        </w:rPr>
        <w:t xml:space="preserve">2.4.4 </w:t>
      </w:r>
      <w:r>
        <w:rPr>
          <w:rFonts w:hint="eastAsia" w:ascii="宋体" w:hAnsi="宋体" w:eastAsia="宋体" w:cs="宋体"/>
          <w:sz w:val="21"/>
          <w:szCs w:val="21"/>
          <w:highlight w:val="white"/>
        </w:rPr>
        <w:t>除柱箱外，可加热控温的区域不少于8个，其最高温度可达400℃</w:t>
      </w:r>
    </w:p>
    <w:p>
      <w:pPr>
        <w:spacing w:line="360" w:lineRule="auto"/>
        <w:rPr>
          <w:rFonts w:hint="eastAsia" w:ascii="宋体" w:hAnsi="宋体" w:eastAsia="宋体" w:cs="宋体"/>
          <w:b/>
          <w:sz w:val="21"/>
          <w:szCs w:val="21"/>
        </w:rPr>
      </w:pPr>
      <w:r>
        <w:rPr>
          <w:rFonts w:hint="eastAsia" w:ascii="宋体" w:hAnsi="宋体" w:eastAsia="宋体" w:cs="宋体"/>
          <w:b/>
          <w:sz w:val="21"/>
          <w:szCs w:val="21"/>
        </w:rPr>
        <w:t>2.5氢火焰检测器（FID，带EPC）</w:t>
      </w:r>
    </w:p>
    <w:p>
      <w:pPr>
        <w:spacing w:line="360" w:lineRule="auto"/>
        <w:rPr>
          <w:rFonts w:hint="eastAsia" w:ascii="宋体" w:hAnsi="宋体" w:eastAsia="宋体" w:cs="宋体"/>
          <w:sz w:val="21"/>
          <w:szCs w:val="21"/>
          <w:highlight w:val="white"/>
        </w:rPr>
      </w:pPr>
      <w:r>
        <w:rPr>
          <w:rFonts w:hint="eastAsia" w:ascii="宋体" w:hAnsi="宋体" w:eastAsia="宋体" w:cs="宋体"/>
          <w:sz w:val="21"/>
          <w:szCs w:val="21"/>
        </w:rPr>
        <w:t xml:space="preserve">2.5.1 </w:t>
      </w:r>
      <w:r>
        <w:rPr>
          <w:rFonts w:hint="eastAsia" w:ascii="宋体" w:hAnsi="宋体" w:eastAsia="宋体" w:cs="宋体"/>
          <w:sz w:val="21"/>
          <w:szCs w:val="21"/>
          <w:highlight w:val="white"/>
        </w:rPr>
        <w:t>最低检测限（十三烷）：&lt;1.4 pg C/s</w:t>
      </w:r>
    </w:p>
    <w:p>
      <w:pPr>
        <w:spacing w:line="360" w:lineRule="auto"/>
        <w:rPr>
          <w:rFonts w:hint="eastAsia" w:ascii="宋体" w:hAnsi="宋体" w:eastAsia="宋体" w:cs="宋体"/>
          <w:sz w:val="21"/>
          <w:szCs w:val="21"/>
          <w:highlight w:val="white"/>
        </w:rPr>
      </w:pPr>
      <w:r>
        <w:rPr>
          <w:rFonts w:hint="eastAsia" w:ascii="宋体" w:hAnsi="宋体" w:eastAsia="宋体" w:cs="宋体"/>
          <w:sz w:val="21"/>
          <w:szCs w:val="21"/>
        </w:rPr>
        <w:t>2.5.2</w:t>
      </w:r>
      <w:r>
        <w:rPr>
          <w:rFonts w:hint="eastAsia" w:ascii="宋体" w:hAnsi="宋体" w:eastAsia="宋体" w:cs="宋体"/>
          <w:sz w:val="21"/>
          <w:szCs w:val="21"/>
          <w:highlight w:val="white"/>
        </w:rPr>
        <w:t xml:space="preserve"> 线性动态范围：&gt;10</w:t>
      </w:r>
      <w:r>
        <w:rPr>
          <w:rFonts w:hint="eastAsia" w:ascii="宋体" w:hAnsi="宋体" w:eastAsia="宋体" w:cs="宋体"/>
          <w:sz w:val="21"/>
          <w:szCs w:val="21"/>
          <w:highlight w:val="white"/>
          <w:vertAlign w:val="superscript"/>
        </w:rPr>
        <w:t>7</w:t>
      </w:r>
      <w:r>
        <w:rPr>
          <w:rFonts w:hint="eastAsia" w:ascii="宋体" w:hAnsi="宋体" w:eastAsia="宋体" w:cs="宋体"/>
          <w:sz w:val="21"/>
          <w:szCs w:val="21"/>
          <w:highlight w:val="white"/>
        </w:rPr>
        <w:t>（±10%），能在一次进样中对检测器的整个浓度范围（10</w:t>
      </w:r>
      <w:r>
        <w:rPr>
          <w:rFonts w:hint="eastAsia" w:ascii="宋体" w:hAnsi="宋体" w:eastAsia="宋体" w:cs="宋体"/>
          <w:sz w:val="21"/>
          <w:szCs w:val="21"/>
          <w:highlight w:val="white"/>
          <w:vertAlign w:val="superscript"/>
        </w:rPr>
        <w:t>7</w:t>
      </w:r>
      <w:r>
        <w:rPr>
          <w:rFonts w:hint="eastAsia" w:ascii="宋体" w:hAnsi="宋体" w:eastAsia="宋体" w:cs="宋体"/>
          <w:sz w:val="21"/>
          <w:szCs w:val="21"/>
          <w:highlight w:val="white"/>
        </w:rPr>
        <w:t>）的峰实现定量分析</w:t>
      </w:r>
    </w:p>
    <w:p>
      <w:pPr>
        <w:spacing w:line="360" w:lineRule="auto"/>
        <w:rPr>
          <w:rFonts w:hint="eastAsia" w:ascii="宋体" w:hAnsi="宋体" w:eastAsia="宋体" w:cs="宋体"/>
          <w:sz w:val="21"/>
          <w:szCs w:val="21"/>
          <w:highlight w:val="white"/>
        </w:rPr>
      </w:pPr>
      <w:r>
        <w:rPr>
          <w:rFonts w:hint="eastAsia" w:ascii="宋体" w:hAnsi="宋体" w:eastAsia="宋体" w:cs="宋体"/>
          <w:sz w:val="21"/>
          <w:szCs w:val="21"/>
        </w:rPr>
        <w:t>2.5.3 数据</w:t>
      </w:r>
      <w:r>
        <w:rPr>
          <w:rFonts w:hint="eastAsia" w:ascii="宋体" w:hAnsi="宋体" w:eastAsia="宋体" w:cs="宋体"/>
          <w:sz w:val="21"/>
          <w:szCs w:val="21"/>
          <w:highlight w:val="white"/>
        </w:rPr>
        <w:t>采集速率：≥500 Hz</w:t>
      </w:r>
    </w:p>
    <w:p>
      <w:pPr>
        <w:spacing w:line="360" w:lineRule="auto"/>
        <w:rPr>
          <w:rFonts w:hint="eastAsia" w:ascii="宋体" w:hAnsi="宋体" w:eastAsia="宋体" w:cs="宋体"/>
          <w:bCs/>
          <w:iCs/>
          <w:sz w:val="21"/>
          <w:szCs w:val="21"/>
        </w:rPr>
      </w:pPr>
      <w:r>
        <w:rPr>
          <w:rFonts w:hint="eastAsia" w:ascii="宋体" w:hAnsi="宋体" w:eastAsia="宋体" w:cs="宋体"/>
          <w:bCs/>
          <w:iCs/>
          <w:sz w:val="21"/>
          <w:szCs w:val="21"/>
        </w:rPr>
        <w:t>2.5.4</w:t>
      </w:r>
      <w:r>
        <w:rPr>
          <w:rFonts w:hint="eastAsia" w:ascii="宋体" w:hAnsi="宋体" w:eastAsia="宋体" w:cs="宋体"/>
          <w:sz w:val="21"/>
          <w:szCs w:val="21"/>
        </w:rPr>
        <w:t xml:space="preserve"> </w:t>
      </w:r>
      <w:r>
        <w:rPr>
          <w:rFonts w:hint="eastAsia" w:ascii="宋体" w:hAnsi="宋体" w:eastAsia="宋体" w:cs="宋体"/>
          <w:bCs/>
          <w:iCs/>
          <w:sz w:val="21"/>
          <w:szCs w:val="21"/>
        </w:rPr>
        <w:t>灭火自动检测和自动再点火</w:t>
      </w:r>
    </w:p>
    <w:p>
      <w:pPr>
        <w:spacing w:line="360" w:lineRule="auto"/>
        <w:rPr>
          <w:rFonts w:hint="eastAsia" w:ascii="宋体" w:hAnsi="宋体" w:eastAsia="宋体" w:cs="宋体"/>
          <w:sz w:val="21"/>
          <w:szCs w:val="21"/>
          <w:highlight w:val="white"/>
        </w:rPr>
      </w:pPr>
      <w:r>
        <w:rPr>
          <w:rFonts w:hint="eastAsia" w:ascii="宋体" w:hAnsi="宋体" w:eastAsia="宋体" w:cs="宋体"/>
          <w:bCs/>
          <w:iCs/>
          <w:sz w:val="21"/>
          <w:szCs w:val="21"/>
        </w:rPr>
        <w:t>2.5.5</w:t>
      </w:r>
      <w:r>
        <w:rPr>
          <w:rFonts w:hint="eastAsia" w:ascii="宋体" w:hAnsi="宋体" w:eastAsia="宋体" w:cs="宋体"/>
          <w:sz w:val="21"/>
          <w:szCs w:val="21"/>
        </w:rPr>
        <w:t xml:space="preserve"> </w:t>
      </w:r>
      <w:r>
        <w:rPr>
          <w:rFonts w:hint="eastAsia" w:ascii="宋体" w:hAnsi="宋体" w:eastAsia="宋体" w:cs="宋体"/>
          <w:bCs/>
          <w:iCs/>
          <w:sz w:val="21"/>
          <w:szCs w:val="21"/>
        </w:rPr>
        <w:t>最高使用温</w:t>
      </w:r>
      <w:r>
        <w:rPr>
          <w:rFonts w:hint="eastAsia" w:ascii="宋体" w:hAnsi="宋体" w:eastAsia="宋体" w:cs="宋体"/>
          <w:sz w:val="21"/>
          <w:szCs w:val="21"/>
          <w:highlight w:val="white"/>
        </w:rPr>
        <w:t>度：450℃</w:t>
      </w:r>
    </w:p>
    <w:p>
      <w:pPr>
        <w:spacing w:line="360" w:lineRule="auto"/>
        <w:rPr>
          <w:rFonts w:hint="eastAsia" w:ascii="宋体" w:hAnsi="宋体" w:eastAsia="宋体" w:cs="宋体"/>
          <w:b/>
          <w:sz w:val="21"/>
          <w:szCs w:val="21"/>
        </w:rPr>
      </w:pPr>
      <w:r>
        <w:rPr>
          <w:rFonts w:hint="eastAsia" w:ascii="宋体" w:hAnsi="宋体" w:eastAsia="宋体" w:cs="宋体"/>
          <w:b/>
          <w:sz w:val="21"/>
          <w:szCs w:val="21"/>
        </w:rPr>
        <w:t>2.6 液体自动进样器</w:t>
      </w:r>
    </w:p>
    <w:p>
      <w:pPr>
        <w:spacing w:line="360" w:lineRule="auto"/>
        <w:rPr>
          <w:rFonts w:hint="eastAsia" w:ascii="宋体" w:hAnsi="宋体" w:eastAsia="宋体" w:cs="宋体"/>
          <w:sz w:val="21"/>
          <w:szCs w:val="21"/>
          <w:highlight w:val="white"/>
        </w:rPr>
      </w:pPr>
      <w:r>
        <w:rPr>
          <w:rFonts w:hint="eastAsia" w:ascii="宋体" w:hAnsi="宋体" w:eastAsia="宋体" w:cs="宋体"/>
          <w:sz w:val="21"/>
          <w:szCs w:val="21"/>
        </w:rPr>
        <w:t>2.6.1</w:t>
      </w:r>
      <w:r>
        <w:rPr>
          <w:rFonts w:hint="eastAsia" w:ascii="宋体" w:hAnsi="宋体" w:eastAsia="宋体" w:cs="宋体"/>
          <w:sz w:val="21"/>
          <w:szCs w:val="21"/>
          <w:highlight w:val="white"/>
        </w:rPr>
        <w:t xml:space="preserve"> 独立液体自动进样器，插拔式设计，可以快速拆装</w:t>
      </w:r>
    </w:p>
    <w:p>
      <w:pPr>
        <w:spacing w:line="360" w:lineRule="auto"/>
        <w:rPr>
          <w:rFonts w:hint="eastAsia" w:ascii="宋体" w:hAnsi="宋体" w:eastAsia="宋体" w:cs="宋体"/>
          <w:sz w:val="21"/>
          <w:szCs w:val="21"/>
          <w:highlight w:val="white"/>
        </w:rPr>
      </w:pPr>
      <w:r>
        <w:rPr>
          <w:rFonts w:hint="eastAsia" w:ascii="宋体" w:hAnsi="宋体" w:eastAsia="宋体" w:cs="宋体"/>
          <w:sz w:val="21"/>
          <w:szCs w:val="21"/>
        </w:rPr>
        <w:t>2.6.2</w:t>
      </w:r>
      <w:r>
        <w:rPr>
          <w:rFonts w:hint="eastAsia" w:ascii="宋体" w:hAnsi="宋体" w:eastAsia="宋体" w:cs="宋体"/>
          <w:sz w:val="21"/>
          <w:szCs w:val="21"/>
          <w:highlight w:val="white"/>
        </w:rPr>
        <w:t xml:space="preserve"> 液体进样器样品位数：≥150位</w:t>
      </w:r>
    </w:p>
    <w:p>
      <w:pPr>
        <w:spacing w:line="360" w:lineRule="auto"/>
        <w:rPr>
          <w:rFonts w:hint="eastAsia" w:ascii="宋体" w:hAnsi="宋体" w:eastAsia="宋体" w:cs="宋体"/>
          <w:sz w:val="21"/>
          <w:szCs w:val="21"/>
          <w:highlight w:val="white"/>
        </w:rPr>
      </w:pPr>
      <w:r>
        <w:rPr>
          <w:rFonts w:hint="eastAsia" w:ascii="宋体" w:hAnsi="宋体" w:eastAsia="宋体" w:cs="宋体"/>
          <w:sz w:val="21"/>
          <w:szCs w:val="21"/>
        </w:rPr>
        <w:t xml:space="preserve">2.6.3 </w:t>
      </w:r>
      <w:r>
        <w:rPr>
          <w:rFonts w:hint="eastAsia" w:ascii="宋体" w:hAnsi="宋体" w:eastAsia="宋体" w:cs="宋体"/>
          <w:sz w:val="21"/>
          <w:szCs w:val="21"/>
          <w:highlight w:val="white"/>
        </w:rPr>
        <w:t>液体单次进样量范围：介于0.1－50μL之间</w:t>
      </w:r>
    </w:p>
    <w:p>
      <w:pPr>
        <w:spacing w:line="360" w:lineRule="auto"/>
        <w:rPr>
          <w:rFonts w:hint="eastAsia" w:ascii="宋体" w:hAnsi="宋体" w:eastAsia="宋体" w:cs="宋体"/>
          <w:sz w:val="21"/>
          <w:szCs w:val="21"/>
          <w:highlight w:val="white"/>
        </w:rPr>
      </w:pPr>
      <w:r>
        <w:rPr>
          <w:rFonts w:hint="eastAsia" w:ascii="宋体" w:hAnsi="宋体" w:eastAsia="宋体" w:cs="宋体"/>
          <w:sz w:val="21"/>
          <w:szCs w:val="21"/>
        </w:rPr>
        <w:t>2.6.4</w:t>
      </w:r>
      <w:r>
        <w:rPr>
          <w:rFonts w:hint="eastAsia" w:ascii="宋体" w:hAnsi="宋体" w:eastAsia="宋体" w:cs="宋体"/>
          <w:sz w:val="21"/>
          <w:szCs w:val="21"/>
          <w:highlight w:val="white"/>
        </w:rPr>
        <w:t xml:space="preserve"> 进样速度：可实行快速进样，进样速度≤0.1 sec</w:t>
      </w:r>
    </w:p>
    <w:p>
      <w:pPr>
        <w:spacing w:line="360" w:lineRule="auto"/>
        <w:rPr>
          <w:rFonts w:hint="eastAsia" w:ascii="宋体" w:hAnsi="宋体" w:eastAsia="宋体" w:cs="宋体"/>
          <w:sz w:val="21"/>
          <w:szCs w:val="21"/>
          <w:highlight w:val="white"/>
        </w:rPr>
      </w:pPr>
      <w:r>
        <w:rPr>
          <w:rFonts w:hint="eastAsia" w:ascii="宋体" w:hAnsi="宋体" w:eastAsia="宋体" w:cs="宋体"/>
          <w:sz w:val="21"/>
          <w:szCs w:val="21"/>
        </w:rPr>
        <w:t>2.6.5</w:t>
      </w:r>
      <w:r>
        <w:rPr>
          <w:rFonts w:hint="eastAsia" w:ascii="宋体" w:hAnsi="宋体" w:eastAsia="宋体" w:cs="宋体"/>
          <w:sz w:val="21"/>
          <w:szCs w:val="21"/>
          <w:highlight w:val="white"/>
        </w:rPr>
        <w:t xml:space="preserve"> 交叉污染：小于千分之一</w:t>
      </w:r>
    </w:p>
    <w:p>
      <w:pPr>
        <w:spacing w:line="360" w:lineRule="auto"/>
        <w:rPr>
          <w:rFonts w:hint="eastAsia" w:ascii="宋体" w:hAnsi="宋体" w:eastAsia="宋体" w:cs="宋体"/>
          <w:b/>
          <w:sz w:val="21"/>
          <w:szCs w:val="21"/>
        </w:rPr>
      </w:pPr>
      <w:r>
        <w:rPr>
          <w:rFonts w:hint="eastAsia" w:ascii="宋体" w:hAnsi="宋体" w:eastAsia="宋体" w:cs="宋体"/>
          <w:b/>
          <w:sz w:val="21"/>
          <w:szCs w:val="21"/>
        </w:rPr>
        <w:t>2.7化学工作站</w:t>
      </w:r>
    </w:p>
    <w:p>
      <w:pPr>
        <w:spacing w:line="360" w:lineRule="auto"/>
        <w:rPr>
          <w:rFonts w:hint="eastAsia" w:ascii="宋体" w:hAnsi="宋体" w:eastAsia="宋体" w:cs="宋体"/>
          <w:bCs/>
          <w:iCs/>
          <w:sz w:val="21"/>
          <w:szCs w:val="21"/>
        </w:rPr>
      </w:pPr>
      <w:r>
        <w:rPr>
          <w:rFonts w:hint="eastAsia" w:ascii="宋体" w:hAnsi="宋体" w:eastAsia="宋体" w:cs="宋体"/>
          <w:sz w:val="21"/>
          <w:szCs w:val="21"/>
        </w:rPr>
        <w:t xml:space="preserve">2.7.1 </w:t>
      </w:r>
      <w:r>
        <w:rPr>
          <w:rFonts w:hint="eastAsia" w:ascii="宋体" w:hAnsi="宋体" w:eastAsia="宋体" w:cs="宋体"/>
          <w:bCs/>
          <w:iCs/>
          <w:sz w:val="21"/>
          <w:szCs w:val="21"/>
        </w:rPr>
        <w:t>软件部分：可控制气相色谱仪所有参数和运行，可实施编辑功能，自动进行序列样品分析；实时在线显示色谱图，积分并报告出分析结果，绘制标准曲线；具有在线帮助的自学操作教程；具有自诊断程序</w:t>
      </w:r>
    </w:p>
    <w:p>
      <w:pPr>
        <w:pStyle w:val="7"/>
        <w:spacing w:line="360" w:lineRule="auto"/>
        <w:ind w:firstLine="0" w:firstLineChars="0"/>
        <w:rPr>
          <w:rFonts w:hint="eastAsia" w:ascii="宋体" w:hAnsi="宋体" w:eastAsia="宋体" w:cs="宋体"/>
          <w:bCs/>
          <w:iCs/>
          <w:sz w:val="21"/>
          <w:szCs w:val="21"/>
        </w:rPr>
      </w:pPr>
      <w:r>
        <w:rPr>
          <w:rFonts w:hint="eastAsia" w:ascii="宋体" w:hAnsi="宋体" w:eastAsia="宋体" w:cs="宋体"/>
          <w:sz w:val="21"/>
          <w:szCs w:val="21"/>
        </w:rPr>
        <w:t>2.7.2 具有</w:t>
      </w:r>
      <w:r>
        <w:rPr>
          <w:rFonts w:hint="eastAsia" w:ascii="宋体" w:hAnsi="宋体" w:eastAsia="宋体" w:cs="宋体"/>
          <w:bCs/>
          <w:iCs/>
          <w:sz w:val="21"/>
          <w:szCs w:val="21"/>
        </w:rPr>
        <w:t>保留时间锁定功能</w:t>
      </w:r>
    </w:p>
    <w:p>
      <w:pPr>
        <w:pStyle w:val="7"/>
        <w:spacing w:line="360" w:lineRule="auto"/>
        <w:ind w:firstLine="0" w:firstLineChars="0"/>
        <w:rPr>
          <w:rFonts w:hint="eastAsia" w:ascii="宋体" w:hAnsi="宋体" w:eastAsia="宋体" w:cs="宋体"/>
          <w:b/>
          <w:iCs/>
          <w:sz w:val="21"/>
          <w:szCs w:val="21"/>
        </w:rPr>
      </w:pPr>
      <w:r>
        <w:rPr>
          <w:rFonts w:hint="eastAsia" w:ascii="宋体" w:hAnsi="宋体" w:eastAsia="宋体" w:cs="宋体"/>
          <w:b/>
          <w:iCs/>
          <w:sz w:val="21"/>
          <w:szCs w:val="21"/>
        </w:rPr>
        <w:t>2.8配置清单</w:t>
      </w:r>
    </w:p>
    <w:p>
      <w:pPr>
        <w:tabs>
          <w:tab w:val="left" w:pos="5415"/>
        </w:tabs>
        <w:spacing w:line="360" w:lineRule="auto"/>
        <w:rPr>
          <w:rFonts w:hint="eastAsia" w:ascii="宋体" w:hAnsi="宋体" w:eastAsia="宋体" w:cs="宋体"/>
          <w:sz w:val="21"/>
          <w:szCs w:val="21"/>
        </w:rPr>
      </w:pPr>
      <w:r>
        <w:rPr>
          <w:rFonts w:hint="eastAsia" w:ascii="宋体" w:hAnsi="宋体" w:eastAsia="宋体" w:cs="宋体"/>
          <w:sz w:val="21"/>
          <w:szCs w:val="21"/>
        </w:rPr>
        <w:t>2.8.1 气相色谱仪主机 1套；</w:t>
      </w:r>
    </w:p>
    <w:p>
      <w:pPr>
        <w:tabs>
          <w:tab w:val="left" w:pos="5415"/>
        </w:tabs>
        <w:spacing w:line="360" w:lineRule="auto"/>
        <w:rPr>
          <w:rFonts w:hint="eastAsia" w:ascii="宋体" w:hAnsi="宋体" w:eastAsia="宋体" w:cs="宋体"/>
          <w:sz w:val="21"/>
          <w:szCs w:val="21"/>
        </w:rPr>
      </w:pPr>
      <w:r>
        <w:rPr>
          <w:rFonts w:hint="eastAsia" w:ascii="宋体" w:hAnsi="宋体" w:eastAsia="宋体" w:cs="宋体"/>
          <w:sz w:val="21"/>
          <w:szCs w:val="21"/>
        </w:rPr>
        <w:t>2.8.2 分流/不分流进样口 1个；</w:t>
      </w:r>
    </w:p>
    <w:p>
      <w:pPr>
        <w:tabs>
          <w:tab w:val="left" w:pos="5415"/>
        </w:tabs>
        <w:spacing w:line="360" w:lineRule="auto"/>
        <w:rPr>
          <w:rFonts w:hint="eastAsia" w:ascii="宋体" w:hAnsi="宋体" w:eastAsia="宋体" w:cs="宋体"/>
          <w:sz w:val="21"/>
          <w:szCs w:val="21"/>
        </w:rPr>
      </w:pPr>
      <w:r>
        <w:rPr>
          <w:rFonts w:hint="eastAsia" w:ascii="宋体" w:hAnsi="宋体" w:eastAsia="宋体" w:cs="宋体"/>
          <w:sz w:val="21"/>
          <w:szCs w:val="21"/>
        </w:rPr>
        <w:t>2.8.3 氢火焰（FID）检测器 1个；</w:t>
      </w:r>
    </w:p>
    <w:p>
      <w:pPr>
        <w:tabs>
          <w:tab w:val="left" w:pos="5415"/>
        </w:tabs>
        <w:spacing w:line="360" w:lineRule="auto"/>
        <w:rPr>
          <w:rFonts w:hint="eastAsia" w:ascii="宋体" w:hAnsi="宋体" w:eastAsia="宋体" w:cs="宋体"/>
          <w:sz w:val="21"/>
          <w:szCs w:val="21"/>
        </w:rPr>
      </w:pPr>
      <w:r>
        <w:rPr>
          <w:rFonts w:hint="eastAsia" w:ascii="宋体" w:hAnsi="宋体" w:eastAsia="宋体" w:cs="宋体"/>
          <w:sz w:val="21"/>
          <w:szCs w:val="21"/>
        </w:rPr>
        <w:t>2.8.4 液体自动进样器1套；</w:t>
      </w:r>
    </w:p>
    <w:p>
      <w:pPr>
        <w:tabs>
          <w:tab w:val="left" w:pos="5415"/>
        </w:tabs>
        <w:spacing w:line="360" w:lineRule="auto"/>
        <w:rPr>
          <w:rFonts w:hint="eastAsia" w:ascii="宋体" w:hAnsi="宋体" w:eastAsia="宋体" w:cs="宋体"/>
          <w:sz w:val="21"/>
          <w:szCs w:val="21"/>
        </w:rPr>
      </w:pPr>
      <w:r>
        <w:rPr>
          <w:rFonts w:hint="eastAsia" w:ascii="宋体" w:hAnsi="宋体" w:eastAsia="宋体" w:cs="宋体"/>
          <w:sz w:val="21"/>
          <w:szCs w:val="21"/>
        </w:rPr>
        <w:t>2.8.5 工作站1套（含色谱软件和品牌电脑）；</w:t>
      </w:r>
    </w:p>
    <w:p>
      <w:pPr>
        <w:tabs>
          <w:tab w:val="left" w:pos="5415"/>
        </w:tabs>
        <w:spacing w:line="360" w:lineRule="auto"/>
        <w:rPr>
          <w:rFonts w:hint="eastAsia" w:ascii="宋体" w:hAnsi="宋体" w:eastAsia="宋体" w:cs="宋体"/>
          <w:sz w:val="21"/>
          <w:szCs w:val="21"/>
        </w:rPr>
      </w:pPr>
      <w:r>
        <w:rPr>
          <w:rFonts w:hint="eastAsia" w:ascii="宋体" w:hAnsi="宋体" w:eastAsia="宋体" w:cs="宋体"/>
          <w:sz w:val="21"/>
          <w:szCs w:val="21"/>
        </w:rPr>
        <w:t>2.8.6 气相色谱仪安装包1套；</w:t>
      </w:r>
    </w:p>
    <w:p>
      <w:pPr>
        <w:tabs>
          <w:tab w:val="left" w:pos="5415"/>
        </w:tabs>
        <w:spacing w:line="360" w:lineRule="auto"/>
        <w:rPr>
          <w:rFonts w:hint="eastAsia" w:ascii="宋体" w:hAnsi="宋体" w:eastAsia="宋体" w:cs="宋体"/>
          <w:sz w:val="21"/>
          <w:szCs w:val="21"/>
        </w:rPr>
      </w:pPr>
      <w:r>
        <w:rPr>
          <w:rFonts w:hint="eastAsia" w:ascii="宋体" w:hAnsi="宋体" w:eastAsia="宋体" w:cs="宋体"/>
          <w:sz w:val="21"/>
          <w:szCs w:val="21"/>
        </w:rPr>
        <w:t>2.8.7 通用毛细管色谱柱1根</w:t>
      </w:r>
    </w:p>
    <w:p>
      <w:pPr>
        <w:spacing w:line="360" w:lineRule="auto"/>
        <w:rPr>
          <w:rFonts w:hint="eastAsia" w:ascii="宋体" w:hAnsi="宋体" w:eastAsia="宋体" w:cs="宋体"/>
          <w:sz w:val="21"/>
          <w:szCs w:val="21"/>
        </w:rPr>
      </w:pPr>
      <w:r>
        <w:rPr>
          <w:rFonts w:hint="eastAsia" w:ascii="宋体" w:hAnsi="宋体" w:eastAsia="宋体" w:cs="宋体"/>
          <w:sz w:val="21"/>
          <w:szCs w:val="21"/>
        </w:rPr>
        <w:t>2.8.8 氮气钢瓶及减压阀1套、空气发生器1套、氢气发生器1套；</w:t>
      </w:r>
    </w:p>
    <w:p>
      <w:pPr>
        <w:rPr>
          <w:rFonts w:hint="eastAsia" w:ascii="宋体" w:hAnsi="宋体" w:eastAsia="宋体" w:cs="宋体"/>
          <w:sz w:val="21"/>
          <w:szCs w:val="21"/>
        </w:rPr>
      </w:pPr>
      <w:r>
        <w:rPr>
          <w:rFonts w:hint="eastAsia" w:ascii="宋体" w:hAnsi="宋体" w:eastAsia="宋体" w:cs="宋体"/>
          <w:sz w:val="21"/>
          <w:szCs w:val="21"/>
        </w:rPr>
        <w:t>2.8.9 常规耗材一批：色谱瓶100个，O型圈10个，垫片50个，衬管2个；</w:t>
      </w:r>
    </w:p>
    <w:p>
      <w:pPr>
        <w:rPr>
          <w:rFonts w:hint="eastAsia" w:ascii="宋体" w:hAnsi="宋体" w:eastAsia="宋体" w:cs="宋体"/>
          <w:sz w:val="21"/>
          <w:szCs w:val="21"/>
        </w:rPr>
      </w:pPr>
    </w:p>
    <w:p>
      <w:pPr>
        <w:rPr>
          <w:rFonts w:hint="eastAsia" w:ascii="宋体" w:hAnsi="宋体" w:eastAsia="宋体" w:cs="宋体"/>
          <w:b/>
          <w:bCs/>
          <w:sz w:val="21"/>
          <w:szCs w:val="21"/>
        </w:rPr>
      </w:pPr>
      <w:r>
        <w:rPr>
          <w:rFonts w:hint="eastAsia" w:ascii="宋体" w:hAnsi="宋体" w:cs="宋体"/>
          <w:b/>
          <w:bCs/>
          <w:sz w:val="21"/>
          <w:szCs w:val="21"/>
          <w:lang w:eastAsia="zh-CN"/>
        </w:rPr>
        <w:t>（</w:t>
      </w:r>
      <w:r>
        <w:rPr>
          <w:rFonts w:hint="eastAsia" w:ascii="宋体" w:hAnsi="宋体" w:cs="宋体"/>
          <w:b/>
          <w:bCs/>
          <w:sz w:val="21"/>
          <w:szCs w:val="21"/>
          <w:lang w:val="en-US" w:eastAsia="zh-CN"/>
        </w:rPr>
        <w:t>2</w:t>
      </w:r>
      <w:r>
        <w:rPr>
          <w:rFonts w:hint="eastAsia" w:ascii="宋体" w:hAnsi="宋体" w:cs="宋体"/>
          <w:b/>
          <w:bCs/>
          <w:sz w:val="21"/>
          <w:szCs w:val="21"/>
          <w:lang w:eastAsia="zh-CN"/>
        </w:rPr>
        <w:t>）</w:t>
      </w:r>
      <w:r>
        <w:rPr>
          <w:rFonts w:hint="eastAsia" w:ascii="宋体" w:hAnsi="宋体" w:eastAsia="宋体" w:cs="宋体"/>
          <w:b/>
          <w:bCs/>
          <w:sz w:val="21"/>
          <w:szCs w:val="21"/>
        </w:rPr>
        <w:t>三重四极杆气质联用仪（进口）</w:t>
      </w:r>
    </w:p>
    <w:p>
      <w:pPr>
        <w:widowControl/>
        <w:numPr>
          <w:ilvl w:val="0"/>
          <w:numId w:val="3"/>
        </w:numPr>
        <w:tabs>
          <w:tab w:val="left" w:pos="50"/>
        </w:tabs>
        <w:spacing w:line="276" w:lineRule="auto"/>
        <w:rPr>
          <w:rFonts w:hint="eastAsia" w:ascii="宋体" w:hAnsi="宋体" w:eastAsia="宋体" w:cs="宋体"/>
          <w:b/>
          <w:kern w:val="0"/>
          <w:sz w:val="21"/>
          <w:szCs w:val="21"/>
          <w:lang w:val="de-DE" w:eastAsia="de-DE"/>
        </w:rPr>
      </w:pPr>
      <w:r>
        <w:rPr>
          <w:rFonts w:hint="eastAsia" w:ascii="宋体" w:hAnsi="宋体" w:eastAsia="宋体" w:cs="宋体"/>
          <w:b/>
          <w:kern w:val="0"/>
          <w:sz w:val="21"/>
          <w:szCs w:val="21"/>
          <w:lang w:val="de-DE" w:eastAsia="de-DE"/>
        </w:rPr>
        <w:t>具体用途</w:t>
      </w:r>
    </w:p>
    <w:p>
      <w:pPr>
        <w:widowControl/>
        <w:spacing w:line="460" w:lineRule="exact"/>
        <w:rPr>
          <w:rFonts w:hint="eastAsia" w:ascii="宋体" w:hAnsi="宋体" w:eastAsia="宋体" w:cs="宋体"/>
          <w:kern w:val="0"/>
          <w:sz w:val="21"/>
          <w:szCs w:val="21"/>
          <w:lang w:val="de-DE" w:eastAsia="de-DE"/>
        </w:rPr>
      </w:pPr>
      <w:r>
        <w:rPr>
          <w:rFonts w:hint="eastAsia" w:ascii="宋体" w:hAnsi="宋体" w:eastAsia="宋体" w:cs="宋体"/>
          <w:kern w:val="0"/>
          <w:sz w:val="21"/>
          <w:szCs w:val="21"/>
          <w:lang w:val="de-DE" w:eastAsia="de-DE"/>
        </w:rPr>
        <w:t>农残及其它有毒有害物质的痕量筛查和定量</w:t>
      </w:r>
    </w:p>
    <w:p>
      <w:pPr>
        <w:widowControl/>
        <w:numPr>
          <w:ilvl w:val="0"/>
          <w:numId w:val="3"/>
        </w:numPr>
        <w:tabs>
          <w:tab w:val="left" w:pos="50"/>
        </w:tabs>
        <w:spacing w:line="276" w:lineRule="auto"/>
        <w:ind w:left="0" w:firstLine="0"/>
        <w:rPr>
          <w:rFonts w:hint="eastAsia" w:ascii="宋体" w:hAnsi="宋体" w:eastAsia="宋体" w:cs="宋体"/>
          <w:b/>
          <w:kern w:val="0"/>
          <w:sz w:val="21"/>
          <w:szCs w:val="21"/>
          <w:lang w:val="de-DE" w:eastAsia="de-DE"/>
        </w:rPr>
      </w:pPr>
      <w:r>
        <w:rPr>
          <w:rFonts w:hint="eastAsia" w:ascii="宋体" w:hAnsi="宋体" w:eastAsia="宋体" w:cs="宋体"/>
          <w:b/>
          <w:kern w:val="0"/>
          <w:sz w:val="21"/>
          <w:szCs w:val="21"/>
          <w:lang w:val="de-DE" w:eastAsia="de-DE"/>
        </w:rPr>
        <w:t>技术规格和性能要求</w:t>
      </w:r>
    </w:p>
    <w:p>
      <w:pPr>
        <w:spacing w:line="460" w:lineRule="exact"/>
        <w:rPr>
          <w:rFonts w:hint="eastAsia" w:ascii="宋体" w:hAnsi="宋体" w:eastAsia="宋体" w:cs="宋体"/>
          <w:b/>
          <w:sz w:val="21"/>
          <w:szCs w:val="21"/>
          <w:highlight w:val="white"/>
        </w:rPr>
      </w:pPr>
      <w:r>
        <w:rPr>
          <w:rFonts w:hint="eastAsia" w:ascii="宋体" w:hAnsi="宋体" w:eastAsia="宋体" w:cs="宋体"/>
          <w:b/>
          <w:sz w:val="21"/>
          <w:szCs w:val="21"/>
          <w:highlight w:val="white"/>
        </w:rPr>
        <w:t>2.1气相整体性能</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2.1.1</w:t>
      </w:r>
      <w:r>
        <w:rPr>
          <w:rFonts w:hint="eastAsia" w:ascii="宋体" w:hAnsi="宋体" w:eastAsia="宋体" w:cs="宋体"/>
          <w:sz w:val="21"/>
          <w:szCs w:val="21"/>
        </w:rPr>
        <w:t xml:space="preserve"> 保留时间重现性&lt;0.008% 或&lt;0.0008 分钟，峰面积重现性&lt;2% RSD</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2.1.2</w:t>
      </w:r>
      <w:r>
        <w:rPr>
          <w:rFonts w:hint="eastAsia" w:ascii="宋体" w:hAnsi="宋体" w:eastAsia="宋体" w:cs="宋体"/>
          <w:sz w:val="21"/>
          <w:szCs w:val="21"/>
        </w:rPr>
        <w:t xml:space="preserve"> 具备远程智能访问功能，可从任何浏览器（手机、平板电脑、笔记本电脑或台式机）进行访问，无需色谱工作站即可编辑 GC 方法和序列，可以查看设置信息、解决问题、检查泄漏（自动，无需人工）、反吹色谱柱、暂停和启动样品运行，并管理方法开发</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2.1.3</w:t>
      </w:r>
      <w:r>
        <w:rPr>
          <w:rFonts w:hint="eastAsia" w:ascii="宋体" w:hAnsi="宋体" w:eastAsia="宋体" w:cs="宋体"/>
          <w:sz w:val="21"/>
          <w:szCs w:val="21"/>
        </w:rPr>
        <w:t xml:space="preserve"> 可以使用先进的一体化分析技术自动评估空白，从而监测气相色谱仪性能，具有针对所有进样口、检测器和辅助气路的环境温度和压力补偿</w:t>
      </w:r>
    </w:p>
    <w:p>
      <w:pPr>
        <w:spacing w:line="460" w:lineRule="exact"/>
        <w:rPr>
          <w:rFonts w:hint="eastAsia" w:ascii="宋体" w:hAnsi="宋体" w:eastAsia="宋体" w:cs="宋体"/>
          <w:sz w:val="21"/>
          <w:szCs w:val="21"/>
        </w:rPr>
      </w:pPr>
      <w:r>
        <w:rPr>
          <w:rFonts w:hint="eastAsia" w:ascii="宋体" w:hAnsi="宋体" w:eastAsia="宋体" w:cs="宋体"/>
          <w:sz w:val="21"/>
          <w:szCs w:val="21"/>
        </w:rPr>
        <w:t>2.1.4 能够支持同时安装和运行最多 4 个（非 MS）检测器，且不影响 GC 或检测器性能，也不需要辅助柱温箱或第二台 GC</w:t>
      </w:r>
    </w:p>
    <w:p>
      <w:pPr>
        <w:spacing w:line="460" w:lineRule="exact"/>
        <w:rPr>
          <w:rFonts w:hint="eastAsia" w:ascii="宋体" w:hAnsi="宋体" w:eastAsia="宋体" w:cs="宋体"/>
          <w:sz w:val="21"/>
          <w:szCs w:val="21"/>
        </w:rPr>
      </w:pPr>
      <w:r>
        <w:rPr>
          <w:rFonts w:hint="eastAsia" w:ascii="宋体" w:hAnsi="宋体" w:eastAsia="宋体" w:cs="宋体"/>
          <w:b/>
          <w:sz w:val="21"/>
          <w:szCs w:val="21"/>
          <w:highlight w:val="white"/>
        </w:rPr>
        <w:t>2.2柱箱</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2.2.1 温度范围：室温以上4℃～450℃</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2.2.2</w:t>
      </w:r>
      <w:r>
        <w:rPr>
          <w:rFonts w:hint="eastAsia" w:ascii="宋体" w:hAnsi="宋体" w:eastAsia="宋体" w:cs="宋体"/>
          <w:sz w:val="21"/>
          <w:szCs w:val="21"/>
        </w:rPr>
        <w:t xml:space="preserve"> 温度设定精度：0.1</w:t>
      </w:r>
      <w:r>
        <w:rPr>
          <w:rFonts w:hint="eastAsia" w:ascii="宋体" w:hAnsi="宋体" w:eastAsia="宋体" w:cs="宋体"/>
          <w:sz w:val="21"/>
          <w:szCs w:val="21"/>
          <w:highlight w:val="white"/>
        </w:rPr>
        <w:t>℃</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2.2.3</w:t>
      </w:r>
      <w:r>
        <w:rPr>
          <w:rFonts w:hint="eastAsia" w:ascii="宋体" w:hAnsi="宋体" w:eastAsia="宋体" w:cs="宋体"/>
          <w:sz w:val="21"/>
          <w:szCs w:val="21"/>
        </w:rPr>
        <w:t xml:space="preserve"> 最大升温速度120 </w:t>
      </w:r>
      <w:r>
        <w:rPr>
          <w:rFonts w:hint="eastAsia" w:ascii="宋体" w:hAnsi="宋体" w:eastAsia="宋体" w:cs="宋体"/>
          <w:sz w:val="21"/>
          <w:szCs w:val="21"/>
          <w:highlight w:val="white"/>
        </w:rPr>
        <w:t>℃</w:t>
      </w:r>
      <w:r>
        <w:rPr>
          <w:rFonts w:hint="eastAsia" w:ascii="宋体" w:hAnsi="宋体" w:eastAsia="宋体" w:cs="宋体"/>
          <w:sz w:val="21"/>
          <w:szCs w:val="21"/>
        </w:rPr>
        <w:t>/min</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2.2.4 温度稳定性：当环境温度变化1℃时，优于0.01℃</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2.2.5 程序升温：20阶21平台</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2.2</w:t>
      </w:r>
      <w:r>
        <w:rPr>
          <w:rFonts w:hint="eastAsia" w:ascii="宋体" w:hAnsi="宋体" w:eastAsia="宋体" w:cs="宋体"/>
          <w:sz w:val="21"/>
          <w:szCs w:val="21"/>
        </w:rPr>
        <w:t>.6 降温速率：从450℃降至50℃＜4.5 min（22℃室温下）</w:t>
      </w:r>
    </w:p>
    <w:p>
      <w:pPr>
        <w:spacing w:line="460" w:lineRule="exact"/>
        <w:rPr>
          <w:rFonts w:hint="eastAsia" w:ascii="宋体" w:hAnsi="宋体" w:eastAsia="宋体" w:cs="宋体"/>
          <w:b/>
          <w:sz w:val="21"/>
          <w:szCs w:val="21"/>
        </w:rPr>
      </w:pPr>
      <w:r>
        <w:rPr>
          <w:rFonts w:hint="eastAsia" w:ascii="宋体" w:hAnsi="宋体" w:eastAsia="宋体" w:cs="宋体"/>
          <w:b/>
          <w:sz w:val="21"/>
          <w:szCs w:val="21"/>
        </w:rPr>
        <w:t>2.3分流/无分流进样口（带电子气路控制，简称EPC）</w:t>
      </w:r>
    </w:p>
    <w:p>
      <w:pPr>
        <w:spacing w:line="460" w:lineRule="exact"/>
        <w:rPr>
          <w:rFonts w:hint="eastAsia" w:ascii="宋体" w:hAnsi="宋体" w:eastAsia="宋体" w:cs="宋体"/>
          <w:sz w:val="21"/>
          <w:szCs w:val="21"/>
        </w:rPr>
      </w:pPr>
      <w:r>
        <w:rPr>
          <w:rFonts w:hint="eastAsia" w:ascii="宋体" w:hAnsi="宋体" w:eastAsia="宋体" w:cs="宋体"/>
          <w:sz w:val="21"/>
          <w:szCs w:val="21"/>
        </w:rPr>
        <w:t>2.3.1 可编程电子参数设定压力、流速、分流比，分流比最高7500:1</w:t>
      </w:r>
    </w:p>
    <w:p>
      <w:pPr>
        <w:tabs>
          <w:tab w:val="left" w:pos="851"/>
        </w:tabs>
        <w:spacing w:line="460" w:lineRule="exact"/>
        <w:rPr>
          <w:rFonts w:hint="eastAsia" w:ascii="宋体" w:hAnsi="宋体" w:eastAsia="宋体" w:cs="宋体"/>
          <w:sz w:val="21"/>
          <w:szCs w:val="21"/>
        </w:rPr>
      </w:pPr>
      <w:r>
        <w:rPr>
          <w:rFonts w:hint="eastAsia" w:ascii="宋体" w:hAnsi="宋体" w:eastAsia="宋体" w:cs="宋体"/>
          <w:sz w:val="21"/>
          <w:szCs w:val="21"/>
        </w:rPr>
        <w:t>2.3.2 最高使用温度400℃</w:t>
      </w:r>
    </w:p>
    <w:p>
      <w:pPr>
        <w:tabs>
          <w:tab w:val="left" w:pos="851"/>
        </w:tabs>
        <w:spacing w:line="460" w:lineRule="exact"/>
        <w:rPr>
          <w:rFonts w:hint="eastAsia" w:ascii="宋体" w:hAnsi="宋体" w:eastAsia="宋体" w:cs="宋体"/>
          <w:sz w:val="21"/>
          <w:szCs w:val="21"/>
        </w:rPr>
      </w:pPr>
      <w:r>
        <w:rPr>
          <w:rFonts w:hint="eastAsia" w:ascii="宋体" w:hAnsi="宋体" w:eastAsia="宋体" w:cs="宋体"/>
          <w:sz w:val="21"/>
          <w:szCs w:val="21"/>
        </w:rPr>
        <w:t>2.3.3 进样口：快速进样口扳转系统设计，更换衬管无需要拆卸螺丝</w:t>
      </w:r>
    </w:p>
    <w:p>
      <w:pPr>
        <w:tabs>
          <w:tab w:val="left" w:pos="851"/>
        </w:tabs>
        <w:spacing w:line="460" w:lineRule="exact"/>
        <w:rPr>
          <w:rFonts w:hint="eastAsia" w:ascii="宋体" w:hAnsi="宋体" w:eastAsia="宋体" w:cs="宋体"/>
          <w:sz w:val="21"/>
          <w:szCs w:val="21"/>
        </w:rPr>
      </w:pPr>
      <w:r>
        <w:rPr>
          <w:rFonts w:hint="eastAsia" w:ascii="宋体" w:hAnsi="宋体" w:eastAsia="宋体" w:cs="宋体"/>
          <w:sz w:val="21"/>
          <w:szCs w:val="21"/>
        </w:rPr>
        <w:t>2.3.4 压力设定范围：0～100psi</w:t>
      </w:r>
    </w:p>
    <w:p>
      <w:pPr>
        <w:tabs>
          <w:tab w:val="left" w:pos="851"/>
        </w:tabs>
        <w:spacing w:line="460" w:lineRule="exact"/>
        <w:rPr>
          <w:rFonts w:hint="eastAsia" w:ascii="宋体" w:hAnsi="宋体" w:eastAsia="宋体" w:cs="宋体"/>
          <w:sz w:val="21"/>
          <w:szCs w:val="21"/>
        </w:rPr>
      </w:pPr>
      <w:r>
        <w:rPr>
          <w:rFonts w:hint="eastAsia" w:ascii="宋体" w:hAnsi="宋体" w:eastAsia="宋体" w:cs="宋体"/>
          <w:sz w:val="21"/>
          <w:szCs w:val="21"/>
        </w:rPr>
        <w:t>2.3.5 流量设定范围：0～500ml/min（以N</w:t>
      </w:r>
      <w:r>
        <w:rPr>
          <w:rFonts w:hint="eastAsia" w:ascii="宋体" w:hAnsi="宋体" w:eastAsia="宋体" w:cs="宋体"/>
          <w:sz w:val="21"/>
          <w:szCs w:val="21"/>
          <w:vertAlign w:val="subscript"/>
        </w:rPr>
        <w:t>2</w:t>
      </w:r>
      <w:r>
        <w:rPr>
          <w:rFonts w:hint="eastAsia" w:ascii="宋体" w:hAnsi="宋体" w:eastAsia="宋体" w:cs="宋体"/>
          <w:sz w:val="21"/>
          <w:szCs w:val="21"/>
        </w:rPr>
        <w:t>为载气）</w:t>
      </w:r>
    </w:p>
    <w:p>
      <w:pPr>
        <w:tabs>
          <w:tab w:val="left" w:pos="851"/>
        </w:tabs>
        <w:spacing w:line="460" w:lineRule="exact"/>
        <w:ind w:firstLine="1890" w:firstLineChars="900"/>
        <w:rPr>
          <w:rFonts w:hint="eastAsia" w:ascii="宋体" w:hAnsi="宋体" w:eastAsia="宋体" w:cs="宋体"/>
          <w:sz w:val="21"/>
          <w:szCs w:val="21"/>
        </w:rPr>
      </w:pPr>
      <w:r>
        <w:rPr>
          <w:rFonts w:hint="eastAsia" w:ascii="宋体" w:hAnsi="宋体" w:eastAsia="宋体" w:cs="宋体"/>
          <w:sz w:val="21"/>
          <w:szCs w:val="21"/>
        </w:rPr>
        <w:t>0～1250ml/min（以H</w:t>
      </w:r>
      <w:r>
        <w:rPr>
          <w:rFonts w:hint="eastAsia" w:ascii="宋体" w:hAnsi="宋体" w:eastAsia="宋体" w:cs="宋体"/>
          <w:sz w:val="21"/>
          <w:szCs w:val="21"/>
          <w:vertAlign w:val="subscript"/>
        </w:rPr>
        <w:t>2</w:t>
      </w:r>
      <w:r>
        <w:rPr>
          <w:rFonts w:hint="eastAsia" w:ascii="宋体" w:hAnsi="宋体" w:eastAsia="宋体" w:cs="宋体"/>
          <w:sz w:val="21"/>
          <w:szCs w:val="21"/>
        </w:rPr>
        <w:t>，He为载气）</w:t>
      </w:r>
    </w:p>
    <w:p>
      <w:pPr>
        <w:tabs>
          <w:tab w:val="left" w:pos="851"/>
        </w:tabs>
        <w:spacing w:line="460" w:lineRule="exact"/>
        <w:rPr>
          <w:rFonts w:hint="eastAsia" w:ascii="宋体" w:hAnsi="宋体" w:eastAsia="宋体" w:cs="宋体"/>
          <w:b/>
          <w:sz w:val="21"/>
          <w:szCs w:val="21"/>
        </w:rPr>
      </w:pPr>
      <w:r>
        <w:rPr>
          <w:rFonts w:hint="eastAsia" w:ascii="宋体" w:hAnsi="宋体" w:eastAsia="宋体" w:cs="宋体"/>
          <w:b/>
          <w:sz w:val="21"/>
          <w:szCs w:val="21"/>
        </w:rPr>
        <w:t>2.4电子压力控制</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2.4.1 自动海拔高度压力及室温补偿</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2.4.2 压力控制精度0.001 psi</w:t>
      </w:r>
    </w:p>
    <w:p>
      <w:pPr>
        <w:spacing w:line="460" w:lineRule="exact"/>
        <w:ind w:left="1" w:hanging="1"/>
        <w:rPr>
          <w:rFonts w:hint="eastAsia" w:ascii="宋体" w:hAnsi="宋体" w:eastAsia="宋体" w:cs="宋体"/>
          <w:sz w:val="21"/>
          <w:szCs w:val="21"/>
          <w:highlight w:val="white"/>
        </w:rPr>
      </w:pPr>
      <w:r>
        <w:rPr>
          <w:rFonts w:hint="eastAsia" w:ascii="宋体" w:hAnsi="宋体" w:eastAsia="宋体" w:cs="宋体"/>
          <w:sz w:val="21"/>
          <w:szCs w:val="21"/>
          <w:highlight w:val="white"/>
        </w:rPr>
        <w:t>2.4.3 具有恒流，恒压，程序增加流速，程序升压及压力脉冲等操作模式的电子气路控制</w:t>
      </w:r>
    </w:p>
    <w:p>
      <w:pPr>
        <w:spacing w:line="276" w:lineRule="auto"/>
        <w:rPr>
          <w:rFonts w:hint="eastAsia" w:ascii="宋体" w:hAnsi="宋体" w:eastAsia="宋体" w:cs="宋体"/>
          <w:sz w:val="21"/>
          <w:szCs w:val="21"/>
        </w:rPr>
      </w:pPr>
      <w:r>
        <w:rPr>
          <w:rFonts w:hint="eastAsia" w:ascii="宋体" w:hAnsi="宋体" w:eastAsia="宋体" w:cs="宋体"/>
          <w:sz w:val="21"/>
          <w:szCs w:val="21"/>
          <w:highlight w:val="white"/>
        </w:rPr>
        <w:t>2.4.4</w:t>
      </w:r>
      <w:r>
        <w:rPr>
          <w:rFonts w:hint="eastAsia" w:ascii="宋体" w:hAnsi="宋体" w:eastAsia="宋体" w:cs="宋体"/>
          <w:b/>
          <w:sz w:val="21"/>
          <w:szCs w:val="21"/>
          <w:highlight w:val="white"/>
        </w:rPr>
        <w:t xml:space="preserve"> </w:t>
      </w:r>
      <w:r>
        <w:rPr>
          <w:rFonts w:hint="eastAsia" w:ascii="宋体" w:hAnsi="宋体" w:eastAsia="宋体" w:cs="宋体"/>
          <w:sz w:val="21"/>
          <w:szCs w:val="21"/>
          <w:highlight w:val="white"/>
        </w:rPr>
        <w:t>除柱箱外，可加热控温的区域不少于8个，其最高温度可达400℃</w:t>
      </w:r>
    </w:p>
    <w:p>
      <w:pPr>
        <w:tabs>
          <w:tab w:val="left" w:pos="851"/>
        </w:tabs>
        <w:spacing w:line="460" w:lineRule="exact"/>
        <w:rPr>
          <w:rFonts w:hint="eastAsia" w:ascii="宋体" w:hAnsi="宋体" w:eastAsia="宋体" w:cs="宋体"/>
          <w:b/>
          <w:sz w:val="21"/>
          <w:szCs w:val="21"/>
          <w:highlight w:val="white"/>
        </w:rPr>
      </w:pPr>
      <w:r>
        <w:rPr>
          <w:rFonts w:hint="eastAsia" w:ascii="宋体" w:hAnsi="宋体" w:eastAsia="宋体" w:cs="宋体"/>
          <w:b/>
          <w:sz w:val="21"/>
          <w:szCs w:val="21"/>
          <w:highlight w:val="white"/>
        </w:rPr>
        <w:t>2.5 三合一自动进样器</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2.5.1 该气相色谱多功能自动进样器具有自动液体进样、自动顶空进样、SPME固相萃；</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2.5.2 X轴长度≥120cm，提供足够的扩展空间和实现一带二功能，基于X/Y/Z三维机械定位系统，由精密伺服马达控制，定位精度&lt;±0.1mm；</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2.5.3液体进样模式</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2.5.3.1进样体积0.1uL～1000 μL间任意调节；</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2.5.3.2样品容量：2mL样品数目≥96个；</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2.5.3.3 进样重现性RSD&lt;0.6% 线性系数R&gt;0.9999；</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2.5.3.4 洗针工作站具备4洗针溶剂瓶，1个废液瓶，进样前洗针和进样后洗针次数可无限制的任意设置，洗针溶剂瓶位可用于放置稀释溶液、内标、标准品；</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2.5.4. 顶空进样(Head Space)模式</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2.5.4.1先进的气密直接进样技术，无需阀切换等复杂操作，避免定量环和长的传输管线造成的死体积和吸附效应 ；</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2.5.4.2 注射针规格：1ml、2.5 ml和5 ml可选，进样量在100uL-5mL之间可选；注射器加热：室温-150°C，增量1°C；注射器清洗：惰性气体吹扫加热的注射器；</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2.5.4.3配备6位样品加热振荡器：温控范围： 室温 ～ 200°C，增量1°C；定轨振荡速率： 250rpm - 750rpm；</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2.5.4.4 可实现≥6个样品的重叠加热，保证样品加热时间一致的同时最大限度的提高样品通量</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2.5.5 SPME Fiber固相微萃取进样模式</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2.5.5.1 真正的自动化固相微萃取样品处理和进样模式，高灵敏度定性检测；</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2.5.5.2 萃取前和萃取过程中均可振荡和加热样品，回旋加热震荡模式，有效减少样品前处理的时间；</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2.5.5.3 固相微萃取萃取头的深度可调节，可实现顶空固相微萃取和顶空微萃取；</w:t>
      </w:r>
    </w:p>
    <w:p>
      <w:pPr>
        <w:widowControl/>
        <w:spacing w:line="460" w:lineRule="exact"/>
        <w:rPr>
          <w:rFonts w:hint="eastAsia" w:ascii="宋体" w:hAnsi="宋体" w:eastAsia="宋体" w:cs="宋体"/>
          <w:sz w:val="21"/>
          <w:szCs w:val="21"/>
        </w:rPr>
      </w:pPr>
      <w:r>
        <w:rPr>
          <w:rFonts w:hint="eastAsia" w:ascii="宋体" w:hAnsi="宋体" w:eastAsia="宋体" w:cs="宋体"/>
          <w:sz w:val="21"/>
          <w:szCs w:val="21"/>
        </w:rPr>
        <w:t>2.5.5.4 Agitator加热混合装置内外旋转，温度在30 - 200 °C可调, 转速0 – 1000 RPM可调，软件可全自动控制的样品预处理过程</w:t>
      </w:r>
    </w:p>
    <w:p>
      <w:pPr>
        <w:widowControl/>
        <w:spacing w:line="460" w:lineRule="exact"/>
        <w:rPr>
          <w:rFonts w:hint="eastAsia" w:ascii="宋体" w:hAnsi="宋体" w:eastAsia="宋体" w:cs="宋体"/>
          <w:b/>
          <w:kern w:val="0"/>
          <w:sz w:val="21"/>
          <w:szCs w:val="21"/>
          <w:lang w:val="de-DE" w:eastAsia="de-DE"/>
        </w:rPr>
      </w:pPr>
      <w:r>
        <w:rPr>
          <w:rFonts w:hint="eastAsia" w:ascii="宋体" w:hAnsi="宋体" w:eastAsia="宋体" w:cs="宋体"/>
          <w:b/>
          <w:kern w:val="0"/>
          <w:sz w:val="21"/>
          <w:szCs w:val="21"/>
          <w:lang w:val="de-DE"/>
        </w:rPr>
        <w:t xml:space="preserve">2.6 </w:t>
      </w:r>
      <w:r>
        <w:rPr>
          <w:rFonts w:hint="eastAsia" w:ascii="宋体" w:hAnsi="宋体" w:eastAsia="宋体" w:cs="宋体"/>
          <w:b/>
          <w:kern w:val="0"/>
          <w:sz w:val="21"/>
          <w:szCs w:val="21"/>
          <w:lang w:val="de-DE" w:eastAsia="de-DE"/>
        </w:rPr>
        <w:t>质谱部分</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 xml:space="preserve">2.6.1质量数范围：10-1000 m/z </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 xml:space="preserve">2.6.2仪器检测限指标及灵敏度： </w:t>
      </w:r>
      <w:r>
        <w:rPr>
          <w:rFonts w:hint="eastAsia" w:ascii="宋体" w:hAnsi="宋体" w:eastAsia="宋体" w:cs="宋体"/>
          <w:sz w:val="21"/>
          <w:szCs w:val="21"/>
        </w:rPr>
        <w:t>IDL(MRM): ≤4.0fg ，10fg O</w:t>
      </w:r>
      <w:r>
        <w:rPr>
          <w:rFonts w:hint="eastAsia" w:ascii="宋体" w:hAnsi="宋体" w:eastAsia="宋体" w:cs="宋体"/>
          <w:sz w:val="21"/>
          <w:szCs w:val="21"/>
          <w:highlight w:val="white"/>
        </w:rPr>
        <w:t>FN 连续8次进</w:t>
      </w:r>
      <w:r>
        <w:rPr>
          <w:rFonts w:hint="eastAsia" w:ascii="宋体" w:hAnsi="宋体" w:eastAsia="宋体" w:cs="宋体"/>
          <w:sz w:val="21"/>
          <w:szCs w:val="21"/>
        </w:rPr>
        <w:t>样，峰面积RSD≤15%</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2.6.3</w:t>
      </w:r>
      <w:r>
        <w:rPr>
          <w:rFonts w:hint="eastAsia" w:ascii="宋体" w:hAnsi="宋体" w:eastAsia="宋体" w:cs="宋体"/>
          <w:bCs/>
          <w:iCs/>
          <w:sz w:val="21"/>
          <w:szCs w:val="21"/>
        </w:rPr>
        <w:t>分辨率：0.4~3 amu分辨可调</w:t>
      </w:r>
      <w:r>
        <w:rPr>
          <w:rFonts w:hint="eastAsia" w:ascii="宋体" w:hAnsi="宋体" w:eastAsia="宋体" w:cs="宋体"/>
          <w:sz w:val="21"/>
          <w:szCs w:val="21"/>
          <w:highlight w:val="white"/>
        </w:rPr>
        <w:t xml:space="preserve"> </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2.6.4</w:t>
      </w:r>
      <w:r>
        <w:rPr>
          <w:rFonts w:hint="eastAsia" w:ascii="宋体" w:hAnsi="宋体" w:eastAsia="宋体" w:cs="宋体"/>
          <w:bCs/>
          <w:iCs/>
          <w:sz w:val="21"/>
          <w:szCs w:val="21"/>
        </w:rPr>
        <w:t>碰撞池具有氦气消除功能，可有效消除载气氦气所带来的背景噪音干扰，氦气消除气体流量范围在0~5.0 ml/min可调</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2.6.5扫描速率：最大600个MRM/秒，最小SRM扫描时</w:t>
      </w:r>
      <w:r>
        <w:rPr>
          <w:rFonts w:hint="eastAsia" w:ascii="宋体" w:hAnsi="宋体" w:eastAsia="宋体" w:cs="宋体"/>
          <w:sz w:val="21"/>
          <w:szCs w:val="21"/>
        </w:rPr>
        <w:t xml:space="preserve">间：0.5ms </w:t>
      </w:r>
    </w:p>
    <w:p>
      <w:pPr>
        <w:spacing w:line="460" w:lineRule="exact"/>
        <w:rPr>
          <w:rFonts w:hint="eastAsia" w:ascii="宋体" w:hAnsi="宋体" w:eastAsia="宋体" w:cs="宋体"/>
          <w:sz w:val="21"/>
          <w:szCs w:val="21"/>
        </w:rPr>
      </w:pPr>
      <w:r>
        <w:rPr>
          <w:rFonts w:hint="eastAsia" w:ascii="宋体" w:hAnsi="宋体" w:eastAsia="宋体" w:cs="宋体"/>
          <w:sz w:val="21"/>
          <w:szCs w:val="21"/>
        </w:rPr>
        <w:t>2.6.6 扫描速度：≤20000Da/s</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2.6.7无损双灯丝设计，灯丝受长效保护，提高灯丝寿命，灯丝电流：0-280uA</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 xml:space="preserve">2.6.8最大离子化能量：260eV </w:t>
      </w:r>
    </w:p>
    <w:p>
      <w:pPr>
        <w:spacing w:line="460" w:lineRule="exact"/>
        <w:rPr>
          <w:rFonts w:hint="eastAsia" w:ascii="宋体" w:hAnsi="宋体" w:eastAsia="宋体" w:cs="宋体"/>
          <w:sz w:val="21"/>
          <w:szCs w:val="21"/>
        </w:rPr>
      </w:pPr>
      <w:r>
        <w:rPr>
          <w:rFonts w:hint="eastAsia" w:ascii="宋体" w:hAnsi="宋体" w:eastAsia="宋体" w:cs="宋体"/>
          <w:sz w:val="21"/>
          <w:szCs w:val="21"/>
          <w:highlight w:val="white"/>
        </w:rPr>
        <w:t>2.6.9离子源:配置EI源，独立控温，最高温</w:t>
      </w:r>
      <w:r>
        <w:rPr>
          <w:rFonts w:hint="eastAsia" w:ascii="宋体" w:hAnsi="宋体" w:eastAsia="宋体" w:cs="宋体"/>
          <w:sz w:val="21"/>
          <w:szCs w:val="21"/>
        </w:rPr>
        <w:t xml:space="preserve">度可到350˚C  </w:t>
      </w:r>
    </w:p>
    <w:p>
      <w:pPr>
        <w:spacing w:line="460" w:lineRule="exact"/>
        <w:rPr>
          <w:rFonts w:hint="eastAsia" w:ascii="宋体" w:hAnsi="宋体" w:eastAsia="宋体" w:cs="宋体"/>
          <w:sz w:val="21"/>
          <w:szCs w:val="21"/>
        </w:rPr>
      </w:pPr>
      <w:r>
        <w:rPr>
          <w:rFonts w:hint="eastAsia" w:ascii="宋体" w:hAnsi="宋体" w:eastAsia="宋体" w:cs="宋体"/>
          <w:sz w:val="21"/>
          <w:szCs w:val="21"/>
        </w:rPr>
        <w:t>2.6.10 气质接口温度: 独立控温，最高温度可到350˚C</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2.6.</w:t>
      </w:r>
      <w:r>
        <w:rPr>
          <w:rFonts w:hint="eastAsia" w:ascii="宋体" w:hAnsi="宋体" w:eastAsia="宋体" w:cs="宋体"/>
          <w:sz w:val="21"/>
          <w:szCs w:val="21"/>
        </w:rPr>
        <w:t>11</w:t>
      </w:r>
      <w:r>
        <w:rPr>
          <w:rFonts w:hint="eastAsia" w:ascii="宋体" w:hAnsi="宋体" w:eastAsia="宋体" w:cs="宋体"/>
          <w:bCs/>
          <w:iCs/>
          <w:sz w:val="21"/>
          <w:szCs w:val="21"/>
        </w:rPr>
        <w:t>四极杆质量分析器：石英镀金共轭双曲面四极杆，能独立温控，最高可达 160℃(非预四极杆加热)</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2.6.12气质接口温度: 独立控温，最高温度可到350˚C</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2.6.13扫描功能:全扫描(Full Scan)、子离子扫描( Product Ion Scan)、母离子扫描(Precursor Ion Scan)、中性丢失扫描(Neutral Loss Scan)、选择离子扫描模式(SIM)、多反应扫描模式（SRM）</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2.6.14质谱工作站同时具有分段扫描功能和</w:t>
      </w:r>
      <w:r>
        <w:rPr>
          <w:rFonts w:hint="eastAsia" w:ascii="宋体" w:hAnsi="宋体" w:eastAsia="宋体" w:cs="宋体"/>
          <w:sz w:val="21"/>
          <w:szCs w:val="21"/>
        </w:rPr>
        <w:t>动态多反应监测功能</w:t>
      </w:r>
    </w:p>
    <w:p>
      <w:pPr>
        <w:widowControl/>
        <w:spacing w:line="460" w:lineRule="exact"/>
        <w:rPr>
          <w:rFonts w:hint="eastAsia" w:ascii="宋体" w:hAnsi="宋体" w:eastAsia="宋体" w:cs="宋体"/>
          <w:b/>
          <w:kern w:val="0"/>
          <w:sz w:val="21"/>
          <w:szCs w:val="21"/>
          <w:lang w:val="de-DE" w:eastAsia="de-DE"/>
        </w:rPr>
      </w:pPr>
      <w:r>
        <w:rPr>
          <w:rFonts w:hint="eastAsia" w:ascii="宋体" w:hAnsi="宋体" w:eastAsia="宋体" w:cs="宋体"/>
          <w:b/>
          <w:kern w:val="0"/>
          <w:sz w:val="21"/>
          <w:szCs w:val="21"/>
          <w:lang w:val="de-DE"/>
        </w:rPr>
        <w:t>2</w:t>
      </w:r>
      <w:r>
        <w:rPr>
          <w:rFonts w:hint="eastAsia" w:ascii="宋体" w:hAnsi="宋体" w:eastAsia="宋体" w:cs="宋体"/>
          <w:b/>
          <w:kern w:val="0"/>
          <w:sz w:val="21"/>
          <w:szCs w:val="21"/>
          <w:lang w:val="de-DE" w:eastAsia="de-DE"/>
        </w:rPr>
        <w:t>.</w:t>
      </w:r>
      <w:r>
        <w:rPr>
          <w:rFonts w:hint="eastAsia" w:ascii="宋体" w:hAnsi="宋体" w:eastAsia="宋体" w:cs="宋体"/>
          <w:b/>
          <w:kern w:val="0"/>
          <w:sz w:val="21"/>
          <w:szCs w:val="21"/>
          <w:lang w:val="de-DE"/>
        </w:rPr>
        <w:t>7</w:t>
      </w:r>
      <w:r>
        <w:rPr>
          <w:rFonts w:hint="eastAsia" w:ascii="宋体" w:hAnsi="宋体" w:eastAsia="宋体" w:cs="宋体"/>
          <w:b/>
          <w:kern w:val="0"/>
          <w:sz w:val="21"/>
          <w:szCs w:val="21"/>
          <w:lang w:val="de-DE" w:eastAsia="de-DE"/>
        </w:rPr>
        <w:t>数据处理系统</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2.7.1软件：气质串接软件应该同时包含中文和英文两种软件，包含未知物解析、解卷积（非NIST带有的AMDIS）功能</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 xml:space="preserve">2.7.2通用谱库: NIST谱库和化学结构式库 </w:t>
      </w:r>
    </w:p>
    <w:p>
      <w:pPr>
        <w:spacing w:line="460" w:lineRule="exact"/>
        <w:rPr>
          <w:rFonts w:hint="eastAsia" w:ascii="宋体" w:hAnsi="宋体" w:eastAsia="宋体" w:cs="宋体"/>
          <w:sz w:val="21"/>
          <w:szCs w:val="21"/>
          <w:highlight w:val="white"/>
        </w:rPr>
      </w:pPr>
      <w:r>
        <w:rPr>
          <w:rFonts w:hint="eastAsia" w:ascii="宋体" w:hAnsi="宋体" w:eastAsia="宋体" w:cs="宋体"/>
          <w:sz w:val="21"/>
          <w:szCs w:val="21"/>
          <w:highlight w:val="white"/>
        </w:rPr>
        <w:t xml:space="preserve">2.7.3计算机:CPU 四核，单主频不低于3.2G/8G内存或以上/500G硬盘或以上/DVD-RW/19”LCD /激光打印机 </w:t>
      </w:r>
    </w:p>
    <w:p>
      <w:pPr>
        <w:widowControl/>
        <w:spacing w:line="460" w:lineRule="exact"/>
        <w:rPr>
          <w:rFonts w:hint="eastAsia" w:ascii="宋体" w:hAnsi="宋体" w:eastAsia="宋体" w:cs="宋体"/>
          <w:b/>
          <w:kern w:val="0"/>
          <w:sz w:val="21"/>
          <w:szCs w:val="21"/>
          <w:lang w:val="de-DE"/>
        </w:rPr>
      </w:pPr>
      <w:r>
        <w:rPr>
          <w:rFonts w:hint="eastAsia" w:ascii="宋体" w:hAnsi="宋体" w:eastAsia="宋体" w:cs="宋体"/>
          <w:b/>
          <w:kern w:val="0"/>
          <w:sz w:val="21"/>
          <w:szCs w:val="21"/>
          <w:lang w:val="de-DE"/>
        </w:rPr>
        <w:t>2.8 配置清单</w:t>
      </w:r>
    </w:p>
    <w:p>
      <w:pPr>
        <w:spacing w:line="460" w:lineRule="exact"/>
        <w:rPr>
          <w:rFonts w:hint="eastAsia" w:ascii="宋体" w:hAnsi="宋体" w:eastAsia="宋体" w:cs="宋体"/>
          <w:sz w:val="21"/>
          <w:szCs w:val="21"/>
        </w:rPr>
      </w:pPr>
      <w:r>
        <w:rPr>
          <w:rFonts w:hint="eastAsia" w:ascii="宋体" w:hAnsi="宋体" w:eastAsia="宋体" w:cs="宋体"/>
          <w:sz w:val="21"/>
          <w:szCs w:val="21"/>
        </w:rPr>
        <w:t>2.8.1 气相色谱主机1套</w:t>
      </w:r>
    </w:p>
    <w:p>
      <w:pPr>
        <w:spacing w:line="460" w:lineRule="exact"/>
        <w:rPr>
          <w:rFonts w:hint="eastAsia" w:ascii="宋体" w:hAnsi="宋体" w:eastAsia="宋体" w:cs="宋体"/>
          <w:sz w:val="21"/>
          <w:szCs w:val="21"/>
        </w:rPr>
      </w:pPr>
      <w:r>
        <w:rPr>
          <w:rFonts w:hint="eastAsia" w:ascii="宋体" w:hAnsi="宋体" w:eastAsia="宋体" w:cs="宋体"/>
          <w:sz w:val="21"/>
          <w:szCs w:val="21"/>
        </w:rPr>
        <w:t>2.8.2 分流/不分流进样口1套</w:t>
      </w:r>
    </w:p>
    <w:p>
      <w:pPr>
        <w:spacing w:line="460" w:lineRule="exact"/>
        <w:rPr>
          <w:rFonts w:hint="eastAsia" w:ascii="宋体" w:hAnsi="宋体" w:eastAsia="宋体" w:cs="宋体"/>
          <w:sz w:val="21"/>
          <w:szCs w:val="21"/>
        </w:rPr>
      </w:pPr>
      <w:r>
        <w:rPr>
          <w:rFonts w:hint="eastAsia" w:ascii="宋体" w:hAnsi="宋体" w:eastAsia="宋体" w:cs="宋体"/>
          <w:sz w:val="21"/>
          <w:szCs w:val="21"/>
        </w:rPr>
        <w:t>2.8.3 GCMSMS质谱主机1套</w:t>
      </w:r>
    </w:p>
    <w:p>
      <w:pPr>
        <w:spacing w:line="460" w:lineRule="exact"/>
        <w:rPr>
          <w:rFonts w:hint="eastAsia" w:ascii="宋体" w:hAnsi="宋体" w:eastAsia="宋体" w:cs="宋体"/>
          <w:sz w:val="21"/>
          <w:szCs w:val="21"/>
        </w:rPr>
      </w:pPr>
      <w:r>
        <w:rPr>
          <w:rFonts w:hint="eastAsia" w:ascii="宋体" w:hAnsi="宋体" w:eastAsia="宋体" w:cs="宋体"/>
          <w:sz w:val="21"/>
          <w:szCs w:val="21"/>
        </w:rPr>
        <w:t>2.8.4三合一自动进样器1套</w:t>
      </w:r>
    </w:p>
    <w:p>
      <w:pPr>
        <w:spacing w:line="460" w:lineRule="exact"/>
        <w:rPr>
          <w:rFonts w:hint="eastAsia" w:ascii="宋体" w:hAnsi="宋体" w:eastAsia="宋体" w:cs="宋体"/>
          <w:sz w:val="21"/>
          <w:szCs w:val="21"/>
        </w:rPr>
      </w:pPr>
      <w:r>
        <w:rPr>
          <w:rFonts w:hint="eastAsia" w:ascii="宋体" w:hAnsi="宋体" w:eastAsia="宋体" w:cs="宋体"/>
          <w:sz w:val="21"/>
          <w:szCs w:val="21"/>
        </w:rPr>
        <w:t>2.8.5 Nist谱库1套</w:t>
      </w:r>
    </w:p>
    <w:p>
      <w:pPr>
        <w:spacing w:line="460" w:lineRule="exact"/>
        <w:rPr>
          <w:rFonts w:hint="eastAsia" w:ascii="宋体" w:hAnsi="宋体" w:eastAsia="宋体" w:cs="宋体"/>
          <w:sz w:val="21"/>
          <w:szCs w:val="21"/>
        </w:rPr>
      </w:pPr>
      <w:r>
        <w:rPr>
          <w:rFonts w:hint="eastAsia" w:ascii="宋体" w:hAnsi="宋体" w:eastAsia="宋体" w:cs="宋体"/>
          <w:sz w:val="21"/>
          <w:szCs w:val="21"/>
        </w:rPr>
        <w:t>2.8.6 工作站1套（含质谱软件</w:t>
      </w:r>
      <w:r>
        <w:rPr>
          <w:rFonts w:hint="eastAsia" w:ascii="宋体" w:hAnsi="宋体" w:eastAsia="宋体" w:cs="宋体"/>
          <w:bCs/>
          <w:iCs/>
          <w:sz w:val="21"/>
          <w:szCs w:val="21"/>
        </w:rPr>
        <w:t>和原装进口电脑</w:t>
      </w:r>
      <w:r>
        <w:rPr>
          <w:rFonts w:hint="eastAsia" w:ascii="宋体" w:hAnsi="宋体" w:eastAsia="宋体" w:cs="宋体"/>
          <w:sz w:val="21"/>
          <w:szCs w:val="21"/>
        </w:rPr>
        <w:t>）</w:t>
      </w:r>
    </w:p>
    <w:p>
      <w:pPr>
        <w:spacing w:line="460" w:lineRule="exact"/>
        <w:rPr>
          <w:rFonts w:hint="eastAsia" w:ascii="宋体" w:hAnsi="宋体" w:eastAsia="宋体" w:cs="宋体"/>
          <w:sz w:val="21"/>
          <w:szCs w:val="21"/>
        </w:rPr>
      </w:pPr>
      <w:r>
        <w:rPr>
          <w:rFonts w:hint="eastAsia" w:ascii="宋体" w:hAnsi="宋体" w:eastAsia="宋体" w:cs="宋体"/>
          <w:sz w:val="21"/>
          <w:szCs w:val="21"/>
        </w:rPr>
        <w:t>2.8.7 安装工具包1套</w:t>
      </w:r>
    </w:p>
    <w:p>
      <w:pPr>
        <w:spacing w:line="460" w:lineRule="exact"/>
        <w:rPr>
          <w:rFonts w:hint="eastAsia" w:ascii="宋体" w:hAnsi="宋体" w:eastAsia="宋体" w:cs="宋体"/>
          <w:sz w:val="21"/>
          <w:szCs w:val="21"/>
        </w:rPr>
      </w:pPr>
      <w:r>
        <w:rPr>
          <w:rFonts w:hint="eastAsia" w:ascii="宋体" w:hAnsi="宋体" w:eastAsia="宋体" w:cs="宋体"/>
          <w:sz w:val="21"/>
          <w:szCs w:val="21"/>
        </w:rPr>
        <w:t>2.8.8大容量捕集阱1套</w:t>
      </w:r>
    </w:p>
    <w:p>
      <w:pPr>
        <w:spacing w:line="460" w:lineRule="exact"/>
        <w:rPr>
          <w:rFonts w:hint="eastAsia" w:ascii="宋体" w:hAnsi="宋体" w:eastAsia="宋体" w:cs="宋体"/>
          <w:bCs/>
          <w:iCs/>
          <w:sz w:val="21"/>
          <w:szCs w:val="21"/>
        </w:rPr>
      </w:pPr>
      <w:r>
        <w:rPr>
          <w:rFonts w:hint="eastAsia" w:ascii="宋体" w:hAnsi="宋体" w:eastAsia="宋体" w:cs="宋体"/>
          <w:sz w:val="21"/>
          <w:szCs w:val="21"/>
        </w:rPr>
        <w:t>2.8.9耗材：</w:t>
      </w:r>
      <w:r>
        <w:rPr>
          <w:rFonts w:hint="eastAsia" w:ascii="宋体" w:hAnsi="宋体" w:eastAsia="宋体" w:cs="宋体"/>
          <w:bCs/>
          <w:iCs/>
          <w:sz w:val="21"/>
          <w:szCs w:val="21"/>
        </w:rPr>
        <w:t>样品瓶套件100个、进样口高级绿色隔垫50个、进样口衬管O形圈10个、10</w:t>
      </w:r>
      <w:r>
        <w:rPr>
          <w:rFonts w:hint="eastAsia" w:ascii="宋体" w:hAnsi="宋体" w:eastAsia="宋体" w:cs="宋体"/>
          <w:sz w:val="21"/>
          <w:szCs w:val="21"/>
          <w:highlight w:val="white"/>
        </w:rPr>
        <w:t>μL进样针1根、</w:t>
      </w:r>
      <w:r>
        <w:rPr>
          <w:rFonts w:hint="eastAsia" w:ascii="宋体" w:hAnsi="宋体" w:eastAsia="宋体" w:cs="宋体"/>
          <w:sz w:val="21"/>
          <w:szCs w:val="21"/>
        </w:rPr>
        <w:t>进样口衬管1个、石墨密封垫圈10个、柱螺帽2个、分流平板1个、HP-5ms色谱柱1根、灯丝2根、真空泵油1瓶；</w:t>
      </w:r>
    </w:p>
    <w:p>
      <w:pPr>
        <w:spacing w:line="460" w:lineRule="exact"/>
        <w:rPr>
          <w:rFonts w:hint="eastAsia" w:ascii="宋体" w:hAnsi="宋体" w:eastAsia="宋体" w:cs="宋体"/>
          <w:sz w:val="21"/>
          <w:szCs w:val="21"/>
        </w:rPr>
      </w:pPr>
      <w:r>
        <w:rPr>
          <w:rFonts w:hint="eastAsia" w:ascii="宋体" w:hAnsi="宋体" w:eastAsia="宋体" w:cs="宋体"/>
          <w:sz w:val="21"/>
          <w:szCs w:val="21"/>
        </w:rPr>
        <w:t>2.8.10国内配套高纯氦气钢瓶及减压阀各1套；</w:t>
      </w:r>
    </w:p>
    <w:p>
      <w:pPr>
        <w:rPr>
          <w:rFonts w:hint="eastAsia" w:ascii="宋体" w:hAnsi="宋体" w:eastAsia="宋体" w:cs="宋体"/>
          <w:sz w:val="21"/>
          <w:szCs w:val="21"/>
        </w:rPr>
      </w:pPr>
      <w:r>
        <w:rPr>
          <w:rFonts w:hint="eastAsia" w:ascii="宋体" w:hAnsi="宋体" w:eastAsia="宋体" w:cs="宋体"/>
          <w:sz w:val="21"/>
          <w:szCs w:val="21"/>
        </w:rPr>
        <w:t>2.8.11 10KVA UPS电源1套</w:t>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b/>
          <w:bCs/>
          <w:sz w:val="21"/>
          <w:szCs w:val="21"/>
        </w:rPr>
        <w:t>七</w:t>
      </w:r>
      <w:r>
        <w:rPr>
          <w:rFonts w:hint="eastAsia" w:ascii="宋体" w:hAnsi="宋体" w:cs="宋体"/>
          <w:b/>
          <w:bCs/>
          <w:sz w:val="21"/>
          <w:szCs w:val="21"/>
          <w:lang w:eastAsia="zh-CN"/>
        </w:rPr>
        <w:t>、</w:t>
      </w:r>
      <w:r>
        <w:rPr>
          <w:rFonts w:hint="eastAsia" w:ascii="宋体" w:hAnsi="宋体" w:eastAsia="宋体" w:cs="宋体"/>
          <w:b/>
          <w:bCs/>
          <w:sz w:val="21"/>
          <w:szCs w:val="21"/>
        </w:rPr>
        <w:t>评标办法：</w:t>
      </w:r>
      <w:r>
        <w:rPr>
          <w:rFonts w:hint="eastAsia" w:ascii="宋体" w:hAnsi="宋体" w:eastAsia="宋体" w:cs="宋体"/>
          <w:sz w:val="21"/>
          <w:szCs w:val="21"/>
        </w:rPr>
        <w:t>（公开招标、竞争性磋商需要提供评分办法，竞争性谈判不需要）</w:t>
      </w:r>
    </w:p>
    <w:p>
      <w:pPr>
        <w:spacing w:line="500" w:lineRule="exact"/>
        <w:ind w:firstLine="424" w:firstLineChars="202"/>
        <w:rPr>
          <w:rFonts w:hint="eastAsia" w:ascii="宋体" w:hAnsi="宋体" w:eastAsia="宋体" w:cs="宋体"/>
          <w:sz w:val="21"/>
          <w:szCs w:val="21"/>
        </w:rPr>
      </w:pPr>
      <w:r>
        <w:rPr>
          <w:rFonts w:hint="eastAsia" w:ascii="宋体" w:hAnsi="宋体" w:eastAsia="宋体" w:cs="宋体"/>
          <w:sz w:val="21"/>
          <w:szCs w:val="21"/>
        </w:rPr>
        <w:t xml:space="preserve">评标办法：采用综合评标法。 </w:t>
      </w:r>
    </w:p>
    <w:p>
      <w:pPr>
        <w:spacing w:line="500" w:lineRule="exact"/>
        <w:ind w:firstLine="424" w:firstLineChars="202"/>
        <w:rPr>
          <w:rFonts w:hint="eastAsia" w:ascii="宋体" w:hAnsi="宋体" w:eastAsia="宋体" w:cs="宋体"/>
          <w:sz w:val="21"/>
          <w:szCs w:val="21"/>
        </w:rPr>
      </w:pPr>
      <w:r>
        <w:rPr>
          <w:rFonts w:hint="eastAsia" w:ascii="宋体" w:hAnsi="宋体" w:eastAsia="宋体" w:cs="宋体"/>
          <w:sz w:val="21"/>
          <w:szCs w:val="21"/>
        </w:rPr>
        <w:t>7.1满足文件要求且最后报价最低的供应商的价格为基准价，其价格分为满分；报价得分=(基准价／最后报价)×价格权值×100</w:t>
      </w:r>
    </w:p>
    <w:p>
      <w:pPr>
        <w:spacing w:line="500" w:lineRule="exact"/>
        <w:ind w:firstLine="424" w:firstLineChars="202"/>
        <w:rPr>
          <w:rFonts w:hint="eastAsia" w:ascii="宋体" w:hAnsi="宋体" w:eastAsia="宋体" w:cs="宋体"/>
          <w:sz w:val="21"/>
          <w:szCs w:val="21"/>
        </w:rPr>
      </w:pPr>
      <w:r>
        <w:rPr>
          <w:rFonts w:hint="eastAsia" w:ascii="宋体" w:hAnsi="宋体" w:eastAsia="宋体" w:cs="宋体"/>
          <w:sz w:val="21"/>
          <w:szCs w:val="21"/>
        </w:rPr>
        <w:t>1）若供应商的投标价格超过采购预算，则该供应商视为无效投标。</w:t>
      </w:r>
    </w:p>
    <w:p>
      <w:pPr>
        <w:spacing w:line="500" w:lineRule="exact"/>
        <w:ind w:firstLine="424" w:firstLineChars="202"/>
        <w:rPr>
          <w:rFonts w:hint="eastAsia" w:ascii="宋体" w:hAnsi="宋体" w:eastAsia="宋体" w:cs="宋体"/>
          <w:sz w:val="21"/>
          <w:szCs w:val="21"/>
        </w:rPr>
      </w:pPr>
      <w:r>
        <w:rPr>
          <w:rFonts w:hint="eastAsia" w:ascii="宋体" w:hAnsi="宋体" w:eastAsia="宋体" w:cs="宋体"/>
          <w:sz w:val="21"/>
          <w:szCs w:val="21"/>
        </w:rPr>
        <w:t>2）若供应商的最后价格均超过采购预算，采购人不能支付的，该项目废标。</w:t>
      </w:r>
    </w:p>
    <w:p>
      <w:pPr>
        <w:spacing w:line="500" w:lineRule="exact"/>
        <w:ind w:firstLine="200"/>
        <w:rPr>
          <w:rFonts w:hint="eastAsia" w:ascii="宋体" w:hAnsi="宋体" w:eastAsia="宋体" w:cs="宋体"/>
          <w:sz w:val="21"/>
          <w:szCs w:val="21"/>
        </w:rPr>
      </w:pPr>
      <w:r>
        <w:rPr>
          <w:rFonts w:hint="eastAsia" w:ascii="宋体" w:hAnsi="宋体" w:eastAsia="宋体" w:cs="宋体"/>
          <w:sz w:val="21"/>
          <w:szCs w:val="21"/>
        </w:rPr>
        <w:t xml:space="preserve">7.2评分细则： </w:t>
      </w:r>
    </w:p>
    <w:tbl>
      <w:tblPr>
        <w:tblStyle w:val="5"/>
        <w:tblW w:w="1028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23"/>
        <w:gridCol w:w="1323"/>
        <w:gridCol w:w="6593"/>
        <w:gridCol w:w="11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1" w:hRule="atLeast"/>
          <w:jc w:val="center"/>
        </w:trPr>
        <w:tc>
          <w:tcPr>
            <w:tcW w:w="1223" w:type="dxa"/>
            <w:tcBorders>
              <w:top w:val="single" w:color="auto" w:sz="4" w:space="0"/>
              <w:left w:val="single" w:color="auto" w:sz="4" w:space="0"/>
              <w:bottom w:val="single" w:color="auto" w:sz="4" w:space="0"/>
              <w:right w:val="single" w:color="auto" w:sz="4" w:space="0"/>
            </w:tcBorders>
            <w:noWrap/>
          </w:tcPr>
          <w:p>
            <w:pPr>
              <w:adjustRightInd w:val="0"/>
              <w:snapToGrid w:val="0"/>
              <w:spacing w:line="312" w:lineRule="auto"/>
              <w:jc w:val="center"/>
              <w:rPr>
                <w:rFonts w:hint="eastAsia" w:ascii="宋体" w:hAnsi="宋体" w:eastAsia="宋体" w:cs="宋体"/>
                <w:b/>
                <w:bCs/>
                <w:sz w:val="21"/>
                <w:szCs w:val="21"/>
              </w:rPr>
            </w:pPr>
            <w:r>
              <w:rPr>
                <w:rFonts w:hint="eastAsia" w:ascii="宋体" w:hAnsi="宋体" w:eastAsia="宋体" w:cs="宋体"/>
                <w:b/>
                <w:bCs/>
                <w:sz w:val="21"/>
                <w:szCs w:val="21"/>
              </w:rPr>
              <w:t>评标指标</w:t>
            </w:r>
          </w:p>
        </w:tc>
        <w:tc>
          <w:tcPr>
            <w:tcW w:w="7916" w:type="dxa"/>
            <w:gridSpan w:val="2"/>
            <w:tcBorders>
              <w:top w:val="single" w:color="auto" w:sz="4" w:space="0"/>
              <w:left w:val="single" w:color="auto" w:sz="4" w:space="0"/>
              <w:bottom w:val="single" w:color="auto" w:sz="4" w:space="0"/>
              <w:right w:val="single" w:color="auto" w:sz="4" w:space="0"/>
            </w:tcBorders>
            <w:noWrap/>
          </w:tcPr>
          <w:p>
            <w:pPr>
              <w:adjustRightInd w:val="0"/>
              <w:snapToGrid w:val="0"/>
              <w:spacing w:line="312" w:lineRule="auto"/>
              <w:jc w:val="center"/>
              <w:rPr>
                <w:rFonts w:hint="eastAsia" w:ascii="宋体" w:hAnsi="宋体" w:eastAsia="宋体" w:cs="宋体"/>
                <w:b/>
                <w:bCs/>
                <w:sz w:val="21"/>
                <w:szCs w:val="21"/>
              </w:rPr>
            </w:pPr>
            <w:r>
              <w:rPr>
                <w:rFonts w:hint="eastAsia" w:ascii="宋体" w:hAnsi="宋体" w:eastAsia="宋体" w:cs="宋体"/>
                <w:b/>
                <w:bCs/>
                <w:sz w:val="21"/>
                <w:szCs w:val="21"/>
              </w:rPr>
              <w:t>评议内容</w:t>
            </w:r>
          </w:p>
        </w:tc>
        <w:tc>
          <w:tcPr>
            <w:tcW w:w="1150" w:type="dxa"/>
            <w:tcBorders>
              <w:top w:val="single" w:color="auto" w:sz="4" w:space="0"/>
              <w:left w:val="single" w:color="auto" w:sz="4" w:space="0"/>
              <w:bottom w:val="single" w:color="auto" w:sz="4" w:space="0"/>
              <w:right w:val="single" w:color="auto" w:sz="4" w:space="0"/>
            </w:tcBorders>
            <w:noWrap/>
          </w:tcPr>
          <w:p>
            <w:pPr>
              <w:adjustRightInd w:val="0"/>
              <w:snapToGrid w:val="0"/>
              <w:spacing w:line="312" w:lineRule="auto"/>
              <w:jc w:val="center"/>
              <w:rPr>
                <w:rFonts w:hint="eastAsia" w:ascii="宋体" w:hAnsi="宋体" w:eastAsia="宋体" w:cs="宋体"/>
                <w:b/>
                <w:bCs/>
                <w:sz w:val="21"/>
                <w:szCs w:val="21"/>
              </w:rPr>
            </w:pPr>
            <w:r>
              <w:rPr>
                <w:rFonts w:hint="eastAsia" w:ascii="宋体" w:hAnsi="宋体" w:eastAsia="宋体" w:cs="宋体"/>
                <w:b/>
                <w:bCs/>
                <w:sz w:val="21"/>
                <w:szCs w:val="21"/>
              </w:rPr>
              <w:t>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1223"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12" w:lineRule="auto"/>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价格</w:t>
            </w:r>
          </w:p>
          <w:p>
            <w:pPr>
              <w:adjustRightInd w:val="0"/>
              <w:snapToGrid w:val="0"/>
              <w:spacing w:line="312" w:lineRule="auto"/>
              <w:jc w:val="center"/>
              <w:rPr>
                <w:rFonts w:hint="eastAsia" w:ascii="宋体" w:hAnsi="宋体" w:eastAsia="宋体" w:cs="宋体"/>
                <w:b/>
                <w:bCs/>
                <w:sz w:val="21"/>
                <w:szCs w:val="21"/>
              </w:rPr>
            </w:pPr>
            <w:r>
              <w:rPr>
                <w:rFonts w:hint="eastAsia" w:ascii="宋体" w:hAnsi="宋体" w:eastAsia="宋体" w:cs="宋体"/>
                <w:b/>
                <w:bCs/>
                <w:sz w:val="21"/>
                <w:szCs w:val="21"/>
              </w:rPr>
              <w:t>（ 30分）</w:t>
            </w:r>
          </w:p>
        </w:tc>
        <w:tc>
          <w:tcPr>
            <w:tcW w:w="7916"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rPr>
                <w:rFonts w:hint="eastAsia" w:ascii="宋体" w:hAnsi="宋体" w:eastAsia="宋体" w:cs="宋体"/>
                <w:spacing w:val="-2"/>
                <w:kern w:val="0"/>
                <w:sz w:val="21"/>
                <w:szCs w:val="21"/>
              </w:rPr>
            </w:pPr>
            <w:r>
              <w:rPr>
                <w:rFonts w:hint="eastAsia" w:ascii="宋体" w:hAnsi="宋体" w:eastAsia="宋体" w:cs="宋体"/>
                <w:kern w:val="0"/>
                <w:sz w:val="21"/>
                <w:szCs w:val="21"/>
              </w:rPr>
              <w:t>根据评分</w:t>
            </w:r>
            <w:r>
              <w:rPr>
                <w:rFonts w:hint="eastAsia" w:ascii="宋体" w:hAnsi="宋体" w:eastAsia="宋体" w:cs="宋体"/>
                <w:spacing w:val="-2"/>
                <w:kern w:val="0"/>
                <w:sz w:val="21"/>
                <w:szCs w:val="21"/>
              </w:rPr>
              <w:t>[</w:t>
            </w:r>
            <w:r>
              <w:rPr>
                <w:rFonts w:hint="eastAsia" w:ascii="宋体" w:hAnsi="宋体" w:eastAsia="宋体" w:cs="宋体"/>
                <w:sz w:val="21"/>
                <w:szCs w:val="21"/>
              </w:rPr>
              <w:t>满足磋商文件要求且最后报价最低的供应商的价格为基准价</w:t>
            </w:r>
            <w:r>
              <w:rPr>
                <w:rFonts w:hint="eastAsia" w:ascii="宋体" w:hAnsi="宋体" w:eastAsia="宋体" w:cs="宋体"/>
                <w:spacing w:val="-2"/>
                <w:kern w:val="0"/>
                <w:sz w:val="21"/>
                <w:szCs w:val="21"/>
              </w:rPr>
              <w:t>，</w:t>
            </w:r>
            <w:r>
              <w:rPr>
                <w:rFonts w:hint="eastAsia" w:ascii="宋体" w:hAnsi="宋体" w:eastAsia="宋体" w:cs="宋体"/>
                <w:sz w:val="21"/>
                <w:szCs w:val="21"/>
              </w:rPr>
              <w:t>报价得分=(基准价／最后报价)</w:t>
            </w:r>
            <w:r>
              <w:rPr>
                <w:rFonts w:hint="eastAsia" w:ascii="宋体" w:hAnsi="宋体" w:eastAsia="宋体" w:cs="宋体"/>
                <w:spacing w:val="-2"/>
                <w:kern w:val="0"/>
                <w:sz w:val="21"/>
                <w:szCs w:val="21"/>
              </w:rPr>
              <w:t>×30,计算分数时四舍五入取小数点后两位]</w:t>
            </w:r>
          </w:p>
          <w:p>
            <w:pPr>
              <w:adjustRightInd w:val="0"/>
              <w:snapToGrid w:val="0"/>
              <w:spacing w:line="312" w:lineRule="auto"/>
              <w:rPr>
                <w:rFonts w:hint="eastAsia" w:ascii="宋体" w:hAnsi="宋体" w:eastAsia="宋体" w:cs="宋体"/>
                <w:b/>
                <w:spacing w:val="-2"/>
                <w:kern w:val="0"/>
                <w:sz w:val="21"/>
                <w:szCs w:val="21"/>
              </w:rPr>
            </w:pPr>
            <w:r>
              <w:rPr>
                <w:rFonts w:hint="eastAsia" w:ascii="宋体" w:hAnsi="宋体" w:eastAsia="宋体" w:cs="宋体"/>
                <w:b/>
                <w:spacing w:val="-2"/>
                <w:kern w:val="0"/>
                <w:sz w:val="21"/>
                <w:szCs w:val="21"/>
              </w:rPr>
              <w:t>注：1、对小型和微型企业产品的价格给予 6%的扣除，用扣除后的价格参与评审。</w:t>
            </w:r>
          </w:p>
          <w:p>
            <w:pPr>
              <w:adjustRightInd w:val="0"/>
              <w:snapToGrid w:val="0"/>
              <w:spacing w:line="312" w:lineRule="auto"/>
              <w:rPr>
                <w:rFonts w:hint="eastAsia" w:ascii="宋体" w:hAnsi="宋体" w:eastAsia="宋体" w:cs="宋体"/>
                <w:b/>
                <w:spacing w:val="-2"/>
                <w:kern w:val="0"/>
                <w:sz w:val="21"/>
                <w:szCs w:val="21"/>
              </w:rPr>
            </w:pPr>
            <w:r>
              <w:rPr>
                <w:rFonts w:hint="eastAsia" w:ascii="宋体" w:hAnsi="宋体" w:eastAsia="宋体" w:cs="宋体"/>
                <w:b/>
                <w:spacing w:val="-2"/>
                <w:kern w:val="0"/>
                <w:sz w:val="21"/>
                <w:szCs w:val="21"/>
              </w:rPr>
              <w:t>2、监狱企业视同小型、微型企业，享受评审中价格扣除等政府促进中小企业发展的政府采购政策。</w:t>
            </w:r>
          </w:p>
          <w:p>
            <w:pPr>
              <w:adjustRightInd w:val="0"/>
              <w:snapToGrid w:val="0"/>
              <w:spacing w:line="312" w:lineRule="auto"/>
              <w:rPr>
                <w:rFonts w:hint="eastAsia" w:ascii="宋体" w:hAnsi="宋体" w:eastAsia="宋体" w:cs="宋体"/>
                <w:spacing w:val="-2"/>
                <w:kern w:val="0"/>
                <w:sz w:val="21"/>
                <w:szCs w:val="21"/>
              </w:rPr>
            </w:pPr>
            <w:r>
              <w:rPr>
                <w:rFonts w:hint="eastAsia" w:ascii="宋体" w:hAnsi="宋体" w:eastAsia="宋体" w:cs="宋体"/>
                <w:b/>
                <w:spacing w:val="-2"/>
                <w:kern w:val="0"/>
                <w:sz w:val="21"/>
                <w:szCs w:val="21"/>
              </w:rPr>
              <w:t>3、残疾人福利性单位视同小型、微型企业，享受评审中价格扣除等政府促进中小企业发展的政府采购政策；福利性单位属于小型、微型企业的，不重复享受政策。</w:t>
            </w:r>
          </w:p>
        </w:tc>
        <w:tc>
          <w:tcPr>
            <w:tcW w:w="1150"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12" w:lineRule="auto"/>
              <w:jc w:val="center"/>
              <w:rPr>
                <w:rFonts w:hint="eastAsia" w:ascii="宋体" w:hAnsi="宋体" w:eastAsia="宋体" w:cs="宋体"/>
                <w:sz w:val="21"/>
                <w:szCs w:val="21"/>
              </w:rPr>
            </w:pPr>
            <w:r>
              <w:rPr>
                <w:rFonts w:hint="eastAsia" w:ascii="宋体" w:hAnsi="宋体" w:eastAsia="宋体" w:cs="宋体"/>
                <w:sz w:val="21"/>
                <w:szCs w:val="21"/>
              </w:rPr>
              <w:t>30分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9" w:hRule="atLeast"/>
          <w:jc w:val="center"/>
        </w:trPr>
        <w:tc>
          <w:tcPr>
            <w:tcW w:w="1223" w:type="dxa"/>
            <w:vMerge w:val="restart"/>
            <w:tcBorders>
              <w:top w:val="single" w:color="auto" w:sz="4" w:space="0"/>
              <w:left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b/>
                <w:bCs/>
                <w:sz w:val="21"/>
                <w:szCs w:val="21"/>
              </w:rPr>
            </w:pPr>
            <w:r>
              <w:rPr>
                <w:rFonts w:hint="eastAsia" w:ascii="宋体" w:hAnsi="宋体" w:eastAsia="宋体" w:cs="宋体"/>
                <w:b/>
                <w:sz w:val="21"/>
                <w:szCs w:val="21"/>
              </w:rPr>
              <w:t>技术</w:t>
            </w:r>
          </w:p>
          <w:p>
            <w:pPr>
              <w:adjustRightInd w:val="0"/>
              <w:snapToGrid w:val="0"/>
              <w:spacing w:line="312" w:lineRule="auto"/>
              <w:jc w:val="center"/>
              <w:rPr>
                <w:rFonts w:hint="eastAsia" w:ascii="宋体" w:hAnsi="宋体" w:eastAsia="宋体" w:cs="宋体"/>
                <w:b/>
                <w:sz w:val="21"/>
                <w:szCs w:val="21"/>
              </w:rPr>
            </w:pPr>
            <w:r>
              <w:rPr>
                <w:rFonts w:hint="eastAsia" w:ascii="宋体" w:hAnsi="宋体" w:eastAsia="宋体" w:cs="宋体"/>
                <w:b/>
                <w:sz w:val="21"/>
                <w:szCs w:val="21"/>
              </w:rPr>
              <w:t xml:space="preserve">（ </w:t>
            </w:r>
            <w:r>
              <w:rPr>
                <w:rFonts w:hint="eastAsia" w:ascii="宋体" w:hAnsi="宋体" w:eastAsia="宋体" w:cs="宋体"/>
                <w:b/>
                <w:bCs/>
                <w:sz w:val="21"/>
                <w:szCs w:val="21"/>
              </w:rPr>
              <w:t>60</w:t>
            </w:r>
            <w:r>
              <w:rPr>
                <w:rFonts w:hint="eastAsia" w:ascii="宋体" w:hAnsi="宋体" w:eastAsia="宋体" w:cs="宋体"/>
                <w:b/>
                <w:sz w:val="21"/>
                <w:szCs w:val="21"/>
              </w:rPr>
              <w:t>分）</w:t>
            </w:r>
          </w:p>
        </w:tc>
        <w:tc>
          <w:tcPr>
            <w:tcW w:w="132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b/>
                <w:sz w:val="21"/>
                <w:szCs w:val="21"/>
              </w:rPr>
            </w:pPr>
            <w:r>
              <w:rPr>
                <w:rFonts w:hint="eastAsia" w:ascii="宋体" w:hAnsi="宋体" w:eastAsia="宋体" w:cs="宋体"/>
                <w:b/>
                <w:sz w:val="21"/>
                <w:szCs w:val="21"/>
              </w:rPr>
              <w:t>基础技术要求</w:t>
            </w:r>
          </w:p>
        </w:tc>
        <w:tc>
          <w:tcPr>
            <w:tcW w:w="659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完全满足文件“技术要求”所有技术，任一项不满足或负偏离视为无效响应。</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评审依据：</w:t>
            </w:r>
            <w:r>
              <w:rPr>
                <w:rFonts w:hint="eastAsia" w:ascii="宋体" w:hAnsi="宋体" w:eastAsia="宋体" w:cs="宋体"/>
                <w:b/>
                <w:bCs/>
                <w:sz w:val="21"/>
                <w:szCs w:val="21"/>
              </w:rPr>
              <w:t>供应商在响应文件中提供技术响应偏离说明表。</w:t>
            </w:r>
          </w:p>
        </w:tc>
        <w:tc>
          <w:tcPr>
            <w:tcW w:w="11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9" w:hRule="atLeast"/>
          <w:jc w:val="center"/>
        </w:trPr>
        <w:tc>
          <w:tcPr>
            <w:tcW w:w="1223" w:type="dxa"/>
            <w:vMerge w:val="continue"/>
            <w:tcBorders>
              <w:left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b/>
                <w:sz w:val="21"/>
                <w:szCs w:val="21"/>
              </w:rPr>
            </w:pPr>
          </w:p>
        </w:tc>
        <w:tc>
          <w:tcPr>
            <w:tcW w:w="1323"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12" w:lineRule="auto"/>
              <w:jc w:val="center"/>
              <w:rPr>
                <w:rFonts w:hint="eastAsia" w:ascii="宋体" w:hAnsi="宋体" w:eastAsia="宋体" w:cs="宋体"/>
                <w:b/>
                <w:sz w:val="21"/>
                <w:szCs w:val="21"/>
              </w:rPr>
            </w:pPr>
            <w:r>
              <w:rPr>
                <w:rFonts w:hint="eastAsia" w:ascii="宋体" w:hAnsi="宋体" w:eastAsia="宋体" w:cs="宋体"/>
                <w:b/>
                <w:sz w:val="21"/>
                <w:szCs w:val="21"/>
              </w:rPr>
              <w:t>气相色谱仪</w:t>
            </w:r>
          </w:p>
        </w:tc>
        <w:tc>
          <w:tcPr>
            <w:tcW w:w="659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2.1.1 保留时间重现性&lt;0.008% 或&lt;0.0008 分钟，峰面积重现性&lt;1% RSD；满足加3分；</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2.2.6 降温速率：从450℃降至50℃＜4.0 min（22℃室温下）；满足加3分；</w:t>
            </w:r>
          </w:p>
          <w:p>
            <w:pPr>
              <w:rPr>
                <w:rFonts w:hint="eastAsia" w:ascii="宋体" w:hAnsi="宋体" w:eastAsia="宋体" w:cs="宋体"/>
                <w:sz w:val="21"/>
                <w:szCs w:val="21"/>
              </w:rPr>
            </w:pPr>
            <w:r>
              <w:rPr>
                <w:rFonts w:hint="eastAsia" w:ascii="宋体" w:hAnsi="宋体" w:eastAsia="宋体" w:cs="宋体"/>
                <w:sz w:val="21"/>
                <w:szCs w:val="21"/>
              </w:rPr>
              <w:t>2.5.1 最低检测限（十三烷）：&lt;1.2 pg C/s；满足加3分；</w:t>
            </w:r>
          </w:p>
          <w:p>
            <w:pPr>
              <w:pStyle w:val="2"/>
              <w:numPr>
                <w:ilvl w:val="0"/>
                <w:numId w:val="0"/>
              </w:numPr>
              <w:rPr>
                <w:rFonts w:hint="eastAsia" w:ascii="宋体" w:hAnsi="宋体" w:eastAsia="宋体" w:cs="宋体"/>
                <w:b w:val="0"/>
                <w:sz w:val="21"/>
                <w:szCs w:val="21"/>
              </w:rPr>
            </w:pPr>
            <w:r>
              <w:rPr>
                <w:rFonts w:hint="eastAsia" w:ascii="宋体" w:hAnsi="宋体" w:eastAsia="宋体" w:cs="宋体"/>
                <w:b w:val="0"/>
                <w:sz w:val="21"/>
                <w:szCs w:val="21"/>
              </w:rPr>
              <w:t>2.6.5 交叉污染：小于十万分之一；满足加3分；</w:t>
            </w:r>
          </w:p>
          <w:p>
            <w:pPr>
              <w:pStyle w:val="2"/>
              <w:numPr>
                <w:ilvl w:val="0"/>
                <w:numId w:val="0"/>
              </w:numPr>
              <w:rPr>
                <w:rFonts w:hint="eastAsia" w:ascii="宋体" w:hAnsi="宋体" w:eastAsia="宋体" w:cs="宋体"/>
                <w:sz w:val="21"/>
                <w:szCs w:val="21"/>
              </w:rPr>
            </w:pPr>
            <w:r>
              <w:rPr>
                <w:rFonts w:hint="eastAsia" w:ascii="宋体" w:hAnsi="宋体" w:eastAsia="宋体" w:cs="宋体"/>
                <w:bCs/>
                <w:sz w:val="21"/>
                <w:szCs w:val="21"/>
              </w:rPr>
              <w:t>评审依据：以上所列技术参数须在技术参数确认函中体现，供应商在现场须提供制造商针对本项目出具的技术参数确认函原件加盖制造商公章佐证。</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2.5.3数据采集速率：≥1000 Hz；满足得7分；</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2.6.2液体进样器样品位数：≥160位；满足得6分；</w:t>
            </w:r>
          </w:p>
          <w:p>
            <w:pPr>
              <w:pStyle w:val="2"/>
              <w:numPr>
                <w:ilvl w:val="0"/>
                <w:numId w:val="0"/>
              </w:numPr>
              <w:rPr>
                <w:rFonts w:hint="eastAsia" w:ascii="宋体" w:hAnsi="宋体" w:eastAsia="宋体" w:cs="宋体"/>
                <w:bCs/>
                <w:sz w:val="21"/>
                <w:szCs w:val="21"/>
              </w:rPr>
            </w:pPr>
            <w:r>
              <w:rPr>
                <w:rFonts w:hint="eastAsia" w:ascii="宋体" w:hAnsi="宋体" w:eastAsia="宋体" w:cs="宋体"/>
                <w:bCs/>
                <w:sz w:val="21"/>
                <w:szCs w:val="21"/>
              </w:rPr>
              <w:t xml:space="preserve">评审依据：以上所列技术参数须在提供含有对应参数的制造厂商官方网址公布的参数截图并加盖制造厂商或中国总代理公章予以佐证；不提供则该项技术参数不加分； </w:t>
            </w:r>
          </w:p>
          <w:p>
            <w:pPr>
              <w:rPr>
                <w:rFonts w:hint="eastAsia" w:ascii="宋体" w:hAnsi="宋体" w:eastAsia="宋体" w:cs="宋体"/>
                <w:sz w:val="21"/>
                <w:szCs w:val="21"/>
              </w:rPr>
            </w:pPr>
            <w:r>
              <w:rPr>
                <w:rFonts w:hint="eastAsia" w:ascii="宋体" w:hAnsi="宋体" w:eastAsia="宋体" w:cs="宋体"/>
                <w:sz w:val="21"/>
                <w:szCs w:val="21"/>
              </w:rPr>
              <w:t>2.7.2 具有保留时间锁定功能，不是简单的保留指数锁定功能，无需使用正构烷烃，不用记录空气峰死时间。用户只需选择一种锁定化合物，在多个不同的进样口压力下进样，即可通过软件自动校正保留时间；满足得5分；</w:t>
            </w:r>
          </w:p>
          <w:p>
            <w:pPr>
              <w:pStyle w:val="2"/>
              <w:numPr>
                <w:ilvl w:val="0"/>
                <w:numId w:val="0"/>
              </w:numPr>
              <w:rPr>
                <w:rFonts w:hint="eastAsia" w:ascii="宋体" w:hAnsi="宋体" w:eastAsia="宋体" w:cs="宋体"/>
                <w:bCs/>
                <w:sz w:val="21"/>
                <w:szCs w:val="21"/>
              </w:rPr>
            </w:pPr>
            <w:r>
              <w:rPr>
                <w:rFonts w:hint="eastAsia" w:ascii="宋体" w:hAnsi="宋体" w:eastAsia="宋体" w:cs="宋体"/>
                <w:bCs/>
                <w:sz w:val="21"/>
                <w:szCs w:val="21"/>
              </w:rPr>
              <w:t xml:space="preserve">评审依据：以上所列技术参数须在提供含有对应参数的制造厂商官方网址公布的参数描述截图并加盖制造厂商或中国总代理公章予以佐证；不提供则该项技术参数不加分； </w:t>
            </w:r>
          </w:p>
        </w:tc>
        <w:tc>
          <w:tcPr>
            <w:tcW w:w="11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spacing w:val="-2"/>
                <w:sz w:val="21"/>
                <w:szCs w:val="21"/>
              </w:rPr>
            </w:pPr>
            <w:r>
              <w:rPr>
                <w:rFonts w:hint="eastAsia" w:ascii="宋体" w:hAnsi="宋体" w:eastAsia="宋体" w:cs="宋体"/>
                <w:spacing w:val="-2"/>
                <w:sz w:val="21"/>
                <w:szCs w:val="21"/>
              </w:rPr>
              <w:t>30分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1" w:hRule="atLeast"/>
          <w:jc w:val="center"/>
        </w:trPr>
        <w:tc>
          <w:tcPr>
            <w:tcW w:w="1223" w:type="dxa"/>
            <w:vMerge w:val="continue"/>
            <w:tcBorders>
              <w:left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b/>
                <w:sz w:val="21"/>
                <w:szCs w:val="21"/>
              </w:rPr>
            </w:pPr>
          </w:p>
        </w:tc>
        <w:tc>
          <w:tcPr>
            <w:tcW w:w="1323"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12" w:lineRule="auto"/>
              <w:jc w:val="center"/>
              <w:rPr>
                <w:rFonts w:hint="eastAsia" w:ascii="宋体" w:hAnsi="宋体" w:eastAsia="宋体" w:cs="宋体"/>
                <w:b/>
                <w:sz w:val="21"/>
                <w:szCs w:val="21"/>
              </w:rPr>
            </w:pPr>
            <w:r>
              <w:rPr>
                <w:rFonts w:hint="eastAsia" w:ascii="宋体" w:hAnsi="宋体" w:eastAsia="宋体" w:cs="宋体"/>
                <w:b/>
                <w:sz w:val="21"/>
                <w:szCs w:val="21"/>
              </w:rPr>
              <w:t>三重四极杆气质联用仪</w:t>
            </w:r>
          </w:p>
        </w:tc>
        <w:tc>
          <w:tcPr>
            <w:tcW w:w="659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2.1.1 保留时间重现性&lt;0.008% 或&lt;0.0008 分钟，峰面积重现性&lt;1% RSD；满足加3分；</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2.2.6 降温速率：从450℃降至50℃＜4.0 min（22℃室温下）；满足加3分；</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2.6.3分辨率：0.4~4 amu分辨可调，满足得4分；</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2.6.5扫描速率：最大800个MRM/秒，最小SRM扫描时间：0.5ms；满足加4分；</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2.6.8最大离子化能量：280eV；满足加4分；</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2.6.10 气质接口温度: 独立控温，最高温度可到380˚C，满足得4分；</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2.6.11四极杆质量分析器：石英镀金共轭双曲面四极杆，能独立温控，最高可达 200℃(非预四极杆加热) ，满足得8分；</w:t>
            </w:r>
          </w:p>
          <w:p>
            <w:pPr>
              <w:pStyle w:val="8"/>
              <w:spacing w:line="312" w:lineRule="auto"/>
              <w:rPr>
                <w:rFonts w:hint="eastAsia" w:ascii="宋体" w:hAnsi="宋体" w:eastAsia="宋体" w:cs="宋体"/>
                <w:sz w:val="21"/>
                <w:szCs w:val="21"/>
              </w:rPr>
            </w:pPr>
            <w:r>
              <w:rPr>
                <w:rFonts w:hint="eastAsia" w:ascii="宋体" w:hAnsi="宋体" w:eastAsia="宋体" w:cs="宋体"/>
                <w:b/>
                <w:bCs/>
                <w:sz w:val="21"/>
                <w:szCs w:val="21"/>
              </w:rPr>
              <w:t>评审依据：以上所列技术参数须在技术参数确认函中体现，供应商在现场须提供制造商针对本项目出具的技术参数确认函原件加盖制造商公章佐证。</w:t>
            </w:r>
          </w:p>
        </w:tc>
        <w:tc>
          <w:tcPr>
            <w:tcW w:w="11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30分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1223" w:type="dxa"/>
            <w:vMerge w:val="restart"/>
            <w:tcBorders>
              <w:top w:val="single" w:color="auto" w:sz="4" w:space="0"/>
              <w:left w:val="single" w:color="auto" w:sz="4" w:space="0"/>
              <w:right w:val="single" w:color="auto" w:sz="4" w:space="0"/>
            </w:tcBorders>
            <w:noWrap/>
            <w:vAlign w:val="center"/>
          </w:tcPr>
          <w:p>
            <w:pPr>
              <w:pStyle w:val="9"/>
              <w:snapToGrid w:val="0"/>
              <w:spacing w:before="0" w:after="0" w:line="312" w:lineRule="auto"/>
              <w:jc w:val="center"/>
              <w:rPr>
                <w:rFonts w:hint="eastAsia" w:ascii="宋体" w:hAnsi="宋体" w:eastAsia="宋体" w:cs="宋体"/>
                <w:kern w:val="2"/>
                <w:sz w:val="21"/>
                <w:szCs w:val="21"/>
              </w:rPr>
            </w:pPr>
            <w:r>
              <w:rPr>
                <w:rFonts w:hint="eastAsia" w:ascii="宋体" w:hAnsi="宋体" w:eastAsia="宋体" w:cs="宋体"/>
                <w:kern w:val="2"/>
                <w:sz w:val="21"/>
                <w:szCs w:val="21"/>
              </w:rPr>
              <w:t>商务</w:t>
            </w:r>
          </w:p>
          <w:p>
            <w:pPr>
              <w:adjustRightInd w:val="0"/>
              <w:snapToGrid w:val="0"/>
              <w:spacing w:line="312" w:lineRule="auto"/>
              <w:jc w:val="center"/>
              <w:rPr>
                <w:rFonts w:hint="eastAsia" w:ascii="宋体" w:hAnsi="宋体" w:eastAsia="宋体" w:cs="宋体"/>
                <w:b/>
                <w:sz w:val="21"/>
                <w:szCs w:val="21"/>
              </w:rPr>
            </w:pPr>
            <w:r>
              <w:rPr>
                <w:rFonts w:hint="eastAsia" w:ascii="宋体" w:hAnsi="宋体" w:eastAsia="宋体" w:cs="宋体"/>
                <w:b/>
                <w:sz w:val="21"/>
                <w:szCs w:val="21"/>
              </w:rPr>
              <w:t>（10分）</w:t>
            </w:r>
          </w:p>
        </w:tc>
        <w:tc>
          <w:tcPr>
            <w:tcW w:w="132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b/>
                <w:sz w:val="21"/>
                <w:szCs w:val="21"/>
              </w:rPr>
            </w:pPr>
            <w:r>
              <w:rPr>
                <w:rFonts w:hint="eastAsia" w:ascii="宋体" w:hAnsi="宋体" w:eastAsia="宋体" w:cs="宋体"/>
                <w:b/>
                <w:sz w:val="21"/>
                <w:szCs w:val="21"/>
              </w:rPr>
              <w:t>基础商务要求</w:t>
            </w:r>
          </w:p>
        </w:tc>
        <w:tc>
          <w:tcPr>
            <w:tcW w:w="659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完全满足文件“ 商务要求”所有要求，任一项不满足或负偏离视为无效响应。</w:t>
            </w:r>
          </w:p>
          <w:p>
            <w:pPr>
              <w:adjustRightInd w:val="0"/>
              <w:snapToGrid w:val="0"/>
              <w:spacing w:line="312" w:lineRule="auto"/>
              <w:rPr>
                <w:rFonts w:hint="eastAsia" w:ascii="宋体" w:hAnsi="宋体" w:eastAsia="宋体" w:cs="宋体"/>
                <w:b/>
                <w:sz w:val="21"/>
                <w:szCs w:val="21"/>
              </w:rPr>
            </w:pPr>
            <w:r>
              <w:rPr>
                <w:rFonts w:hint="eastAsia" w:ascii="宋体" w:hAnsi="宋体" w:eastAsia="宋体" w:cs="宋体"/>
                <w:b/>
                <w:kern w:val="0"/>
                <w:sz w:val="21"/>
                <w:szCs w:val="21"/>
              </w:rPr>
              <w:t>评审依据：商务响应偏离说明表.</w:t>
            </w:r>
          </w:p>
        </w:tc>
        <w:tc>
          <w:tcPr>
            <w:tcW w:w="11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23" w:type="dxa"/>
            <w:vMerge w:val="continue"/>
            <w:tcBorders>
              <w:left w:val="single" w:color="auto" w:sz="4" w:space="0"/>
              <w:right w:val="single" w:color="auto" w:sz="4" w:space="0"/>
            </w:tcBorders>
            <w:noWrap/>
            <w:vAlign w:val="center"/>
          </w:tcPr>
          <w:p>
            <w:pPr>
              <w:pStyle w:val="9"/>
              <w:snapToGrid w:val="0"/>
              <w:spacing w:before="0" w:after="0" w:line="312" w:lineRule="auto"/>
              <w:jc w:val="center"/>
              <w:rPr>
                <w:rFonts w:hint="eastAsia" w:ascii="宋体" w:hAnsi="宋体" w:eastAsia="宋体" w:cs="宋体"/>
                <w:kern w:val="2"/>
                <w:sz w:val="21"/>
                <w:szCs w:val="21"/>
              </w:rPr>
            </w:pPr>
          </w:p>
        </w:tc>
        <w:tc>
          <w:tcPr>
            <w:tcW w:w="132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b/>
                <w:sz w:val="21"/>
                <w:szCs w:val="21"/>
              </w:rPr>
            </w:pPr>
            <w:r>
              <w:rPr>
                <w:rFonts w:hint="eastAsia" w:ascii="宋体" w:hAnsi="宋体" w:eastAsia="宋体" w:cs="宋体"/>
                <w:b/>
                <w:sz w:val="21"/>
                <w:szCs w:val="21"/>
              </w:rPr>
              <w:t>业绩</w:t>
            </w:r>
          </w:p>
        </w:tc>
        <w:tc>
          <w:tcPr>
            <w:tcW w:w="6593" w:type="dxa"/>
            <w:tcBorders>
              <w:top w:val="single" w:color="auto" w:sz="4" w:space="0"/>
              <w:left w:val="single" w:color="auto" w:sz="4" w:space="0"/>
              <w:bottom w:val="single" w:color="auto" w:sz="4" w:space="0"/>
              <w:right w:val="single" w:color="auto" w:sz="4" w:space="0"/>
            </w:tcBorders>
            <w:noWrap/>
            <w:vAlign w:val="center"/>
          </w:tcPr>
          <w:p>
            <w:pPr>
              <w:spacing w:line="312" w:lineRule="auto"/>
              <w:jc w:val="left"/>
              <w:rPr>
                <w:rFonts w:hint="eastAsia" w:ascii="宋体" w:hAnsi="宋体" w:eastAsia="宋体" w:cs="宋体"/>
                <w:b/>
                <w:bCs/>
                <w:sz w:val="21"/>
                <w:szCs w:val="21"/>
              </w:rPr>
            </w:pPr>
            <w:r>
              <w:rPr>
                <w:rFonts w:hint="eastAsia" w:ascii="宋体" w:hAnsi="宋体" w:eastAsia="宋体" w:cs="宋体"/>
                <w:sz w:val="21"/>
                <w:szCs w:val="21"/>
              </w:rPr>
              <w:t>自2018年1月1日起（以合同签订时间为准）具有</w:t>
            </w:r>
            <w:r>
              <w:rPr>
                <w:rFonts w:hint="eastAsia" w:ascii="宋体" w:hAnsi="宋体" w:eastAsia="宋体" w:cs="宋体"/>
                <w:kern w:val="0"/>
                <w:sz w:val="21"/>
                <w:szCs w:val="21"/>
              </w:rPr>
              <w:t>类似项目成交业绩，每提供1份得2分，最多得6分</w:t>
            </w:r>
            <w:r>
              <w:rPr>
                <w:rFonts w:hint="eastAsia" w:ascii="宋体" w:hAnsi="宋体" w:eastAsia="宋体" w:cs="宋体"/>
                <w:sz w:val="21"/>
                <w:szCs w:val="21"/>
              </w:rPr>
              <w:t>。</w:t>
            </w:r>
          </w:p>
        </w:tc>
        <w:tc>
          <w:tcPr>
            <w:tcW w:w="11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sz w:val="21"/>
                <w:szCs w:val="21"/>
              </w:rPr>
            </w:pPr>
            <w:r>
              <w:rPr>
                <w:rFonts w:hint="eastAsia" w:ascii="宋体" w:hAnsi="宋体" w:eastAsia="宋体" w:cs="宋体"/>
                <w:sz w:val="21"/>
                <w:szCs w:val="21"/>
              </w:rPr>
              <w:t>6分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1223" w:type="dxa"/>
            <w:vMerge w:val="continue"/>
            <w:tcBorders>
              <w:left w:val="single" w:color="auto" w:sz="4" w:space="0"/>
              <w:right w:val="single" w:color="auto" w:sz="4" w:space="0"/>
            </w:tcBorders>
            <w:noWrap/>
            <w:vAlign w:val="center"/>
          </w:tcPr>
          <w:p>
            <w:pPr>
              <w:pStyle w:val="9"/>
              <w:snapToGrid w:val="0"/>
              <w:spacing w:before="0" w:after="0" w:line="312" w:lineRule="auto"/>
              <w:jc w:val="center"/>
              <w:rPr>
                <w:rFonts w:hint="eastAsia" w:ascii="宋体" w:hAnsi="宋体" w:eastAsia="宋体" w:cs="宋体"/>
                <w:kern w:val="2"/>
                <w:sz w:val="21"/>
                <w:szCs w:val="21"/>
              </w:rPr>
            </w:pPr>
          </w:p>
        </w:tc>
        <w:tc>
          <w:tcPr>
            <w:tcW w:w="132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b/>
                <w:sz w:val="21"/>
                <w:szCs w:val="21"/>
              </w:rPr>
            </w:pPr>
            <w:r>
              <w:rPr>
                <w:rFonts w:hint="eastAsia" w:ascii="宋体" w:hAnsi="宋体" w:eastAsia="宋体" w:cs="宋体"/>
                <w:b/>
                <w:sz w:val="21"/>
                <w:szCs w:val="21"/>
              </w:rPr>
              <w:t>质保期</w:t>
            </w:r>
          </w:p>
        </w:tc>
        <w:tc>
          <w:tcPr>
            <w:tcW w:w="659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rPr>
                <w:rFonts w:hint="eastAsia" w:ascii="宋体" w:hAnsi="宋体" w:eastAsia="宋体" w:cs="宋体"/>
                <w:sz w:val="21"/>
                <w:szCs w:val="21"/>
              </w:rPr>
            </w:pPr>
            <w:r>
              <w:rPr>
                <w:rFonts w:hint="eastAsia" w:ascii="宋体" w:hAnsi="宋体" w:eastAsia="宋体" w:cs="宋体"/>
                <w:sz w:val="21"/>
                <w:szCs w:val="21"/>
              </w:rPr>
              <w:t>满足磋商文件基本质保期要求（1年）的基础上，质保期每延长1年加2分，最高</w:t>
            </w:r>
            <w:r>
              <w:rPr>
                <w:rFonts w:hint="eastAsia" w:ascii="宋体" w:hAnsi="宋体" w:eastAsia="宋体" w:cs="宋体"/>
                <w:kern w:val="0"/>
                <w:sz w:val="21"/>
                <w:szCs w:val="21"/>
              </w:rPr>
              <w:t>得</w:t>
            </w:r>
            <w:r>
              <w:rPr>
                <w:rFonts w:hint="eastAsia" w:ascii="宋体" w:hAnsi="宋体" w:eastAsia="宋体" w:cs="宋体"/>
                <w:sz w:val="21"/>
                <w:szCs w:val="21"/>
              </w:rPr>
              <w:t>4分。</w:t>
            </w:r>
          </w:p>
          <w:p>
            <w:pPr>
              <w:adjustRightInd w:val="0"/>
              <w:snapToGrid w:val="0"/>
              <w:spacing w:line="312" w:lineRule="auto"/>
              <w:rPr>
                <w:rFonts w:hint="eastAsia" w:ascii="宋体" w:hAnsi="宋体" w:eastAsia="宋体" w:cs="宋体"/>
                <w:sz w:val="21"/>
                <w:szCs w:val="21"/>
              </w:rPr>
            </w:pPr>
            <w:r>
              <w:rPr>
                <w:rFonts w:hint="eastAsia" w:ascii="宋体" w:hAnsi="宋体" w:eastAsia="宋体" w:cs="宋体"/>
                <w:b/>
                <w:bCs/>
                <w:sz w:val="21"/>
                <w:szCs w:val="21"/>
              </w:rPr>
              <w:t>评审依据：供应商在响应文件中提供承诺函佐证，格式自拟，未提供不</w:t>
            </w:r>
            <w:r>
              <w:rPr>
                <w:rFonts w:hint="eastAsia" w:ascii="宋体" w:hAnsi="宋体" w:eastAsia="宋体" w:cs="宋体"/>
                <w:kern w:val="0"/>
                <w:sz w:val="21"/>
                <w:szCs w:val="21"/>
              </w:rPr>
              <w:t>得</w:t>
            </w:r>
            <w:r>
              <w:rPr>
                <w:rFonts w:hint="eastAsia" w:ascii="宋体" w:hAnsi="宋体" w:eastAsia="宋体" w:cs="宋体"/>
                <w:b/>
                <w:bCs/>
                <w:sz w:val="21"/>
                <w:szCs w:val="21"/>
              </w:rPr>
              <w:t>分。</w:t>
            </w:r>
          </w:p>
        </w:tc>
        <w:tc>
          <w:tcPr>
            <w:tcW w:w="11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12" w:lineRule="auto"/>
              <w:jc w:val="center"/>
              <w:rPr>
                <w:rFonts w:hint="eastAsia" w:ascii="宋体" w:hAnsi="宋体" w:eastAsia="宋体" w:cs="宋体"/>
                <w:sz w:val="21"/>
                <w:szCs w:val="21"/>
              </w:rPr>
            </w:pPr>
            <w:r>
              <w:rPr>
                <w:rFonts w:hint="eastAsia" w:ascii="宋体" w:hAnsi="宋体" w:eastAsia="宋体" w:cs="宋体"/>
                <w:sz w:val="21"/>
                <w:szCs w:val="21"/>
              </w:rPr>
              <w:t>4分</w:t>
            </w:r>
          </w:p>
        </w:tc>
      </w:tr>
    </w:tbl>
    <w:p>
      <w:pPr>
        <w:rPr>
          <w:rFonts w:hint="eastAsia" w:ascii="宋体" w:hAnsi="宋体" w:eastAsia="宋体" w:cs="宋体"/>
          <w:sz w:val="21"/>
          <w:szCs w:val="21"/>
        </w:rPr>
      </w:pPr>
    </w:p>
    <w:bookmarkEnd w:id="0"/>
    <w:bookmarkEnd w:id="1"/>
    <w:bookmarkEnd w:id="2"/>
    <w:p>
      <w:pPr>
        <w:widowControl/>
        <w:numPr>
          <w:ilvl w:val="0"/>
          <w:numId w:val="0"/>
        </w:numPr>
        <w:shd w:val="clear" w:color="auto" w:fill="FFFFFF"/>
        <w:adjustRightInd w:val="0"/>
        <w:snapToGrid w:val="0"/>
        <w:spacing w:line="288" w:lineRule="auto"/>
        <w:jc w:val="left"/>
        <w:rPr>
          <w:rFonts w:hint="eastAsia" w:ascii="宋体" w:hAnsi="宋体" w:eastAsia="宋体" w:cs="宋体"/>
          <w:kern w:val="0"/>
          <w:sz w:val="21"/>
          <w:szCs w:val="21"/>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pStyle w:val="2"/>
        <w:numPr>
          <w:ilvl w:val="3"/>
          <w:numId w:val="0"/>
        </w:numPr>
        <w:rPr>
          <w:rFonts w:hint="eastAsia" w:ascii="宋体" w:hAnsi="宋体" w:cs="宋体"/>
          <w:b/>
          <w:bCs/>
          <w:kern w:val="0"/>
          <w:sz w:val="24"/>
          <w:szCs w:val="24"/>
          <w:lang w:eastAsia="zh-CN"/>
        </w:rPr>
      </w:pPr>
    </w:p>
    <w:p>
      <w:pPr>
        <w:pStyle w:val="2"/>
        <w:numPr>
          <w:ilvl w:val="3"/>
          <w:numId w:val="0"/>
        </w:numPr>
        <w:rPr>
          <w:rFonts w:hint="eastAsia"/>
          <w:lang w:eastAsia="zh-CN"/>
        </w:rPr>
      </w:pPr>
    </w:p>
    <w:p>
      <w:pPr>
        <w:rPr>
          <w:rFonts w:hint="eastAsia"/>
          <w:lang w:eastAsia="zh-CN"/>
        </w:rPr>
      </w:pPr>
    </w:p>
    <w:p>
      <w:pPr>
        <w:pStyle w:val="2"/>
        <w:numPr>
          <w:ilvl w:val="3"/>
          <w:numId w:val="0"/>
        </w:numPr>
        <w:rPr>
          <w:rFonts w:hint="eastAsia"/>
          <w:lang w:eastAsia="zh-CN"/>
        </w:rPr>
      </w:pPr>
    </w:p>
    <w:p>
      <w:pPr>
        <w:rPr>
          <w:rFonts w:hint="eastAsia"/>
          <w:lang w:eastAsia="zh-CN"/>
        </w:rPr>
      </w:pPr>
    </w:p>
    <w:p>
      <w:pPr>
        <w:widowControl/>
        <w:shd w:val="clear" w:color="auto" w:fill="FFFFFF"/>
        <w:adjustRightInd w:val="0"/>
        <w:snapToGrid w:val="0"/>
        <w:spacing w:line="288" w:lineRule="auto"/>
        <w:ind w:firstLine="241" w:firstLineChars="100"/>
        <w:jc w:val="left"/>
        <w:rPr>
          <w:rFonts w:hint="eastAsia" w:ascii="宋体" w:hAnsi="宋体" w:cs="宋体"/>
          <w:b/>
          <w:bCs/>
          <w:kern w:val="0"/>
          <w:sz w:val="24"/>
          <w:szCs w:val="24"/>
          <w:lang w:eastAsia="zh-CN"/>
        </w:rPr>
      </w:pPr>
    </w:p>
    <w:p>
      <w:pPr>
        <w:widowControl/>
        <w:shd w:val="clear" w:color="auto" w:fill="FFFFFF"/>
        <w:adjustRightInd w:val="0"/>
        <w:snapToGrid w:val="0"/>
        <w:spacing w:line="288" w:lineRule="auto"/>
        <w:jc w:val="left"/>
        <w:rPr>
          <w:rFonts w:hint="eastAsia" w:ascii="宋体" w:hAnsi="宋体" w:eastAsia="宋体" w:cs="宋体"/>
          <w:b/>
          <w:bCs/>
          <w:kern w:val="0"/>
          <w:sz w:val="24"/>
          <w:szCs w:val="24"/>
        </w:rPr>
      </w:pPr>
      <w:r>
        <w:rPr>
          <w:rFonts w:hint="eastAsia" w:ascii="宋体" w:hAnsi="宋体" w:cs="宋体"/>
          <w:b/>
          <w:bCs/>
          <w:kern w:val="0"/>
          <w:sz w:val="24"/>
          <w:szCs w:val="24"/>
          <w:lang w:val="en-US" w:eastAsia="zh-CN"/>
        </w:rPr>
        <w:t>附件二：</w:t>
      </w:r>
      <w:r>
        <w:rPr>
          <w:rFonts w:hint="eastAsia" w:ascii="宋体" w:hAnsi="宋体" w:eastAsia="宋体" w:cs="宋体"/>
          <w:b/>
          <w:bCs/>
          <w:kern w:val="0"/>
          <w:sz w:val="24"/>
          <w:szCs w:val="24"/>
        </w:rPr>
        <w:t>材料模板</w:t>
      </w:r>
    </w:p>
    <w:p>
      <w:pPr>
        <w:rPr>
          <w:b/>
          <w:sz w:val="28"/>
          <w:szCs w:val="28"/>
        </w:rPr>
      </w:pPr>
      <w:r>
        <w:rPr>
          <w:rFonts w:hint="eastAsia"/>
          <w:b/>
          <w:sz w:val="28"/>
          <w:szCs w:val="28"/>
        </w:rPr>
        <w:t>致：江西古香今韵大健康产业有限公司</w:t>
      </w:r>
    </w:p>
    <w:p/>
    <w:p/>
    <w:p/>
    <w:p/>
    <w:p/>
    <w:p/>
    <w:p>
      <w:pPr>
        <w:jc w:val="center"/>
        <w:rPr>
          <w:b/>
          <w:sz w:val="72"/>
          <w:szCs w:val="72"/>
        </w:rPr>
      </w:pPr>
      <w:r>
        <w:rPr>
          <w:rFonts w:hint="eastAsia"/>
          <w:b/>
          <w:sz w:val="72"/>
          <w:szCs w:val="72"/>
        </w:rPr>
        <w:t>咨 询 论 证 文 件</w:t>
      </w:r>
    </w:p>
    <w:p>
      <w:pPr>
        <w:jc w:val="center"/>
        <w:rPr>
          <w:b/>
          <w:sz w:val="72"/>
          <w:szCs w:val="72"/>
        </w:rPr>
      </w:pPr>
    </w:p>
    <w:p/>
    <w:p/>
    <w:p>
      <w:pPr>
        <w:rPr>
          <w:b/>
          <w:sz w:val="28"/>
          <w:szCs w:val="28"/>
          <w:u w:val="single"/>
        </w:rPr>
      </w:pPr>
      <w:r>
        <w:rPr>
          <w:rFonts w:hint="eastAsia"/>
          <w:b/>
          <w:sz w:val="28"/>
          <w:szCs w:val="28"/>
        </w:rPr>
        <w:t>项目名称：</w:t>
      </w:r>
      <w:r>
        <w:rPr>
          <w:rFonts w:hint="eastAsia"/>
          <w:b/>
          <w:sz w:val="28"/>
          <w:szCs w:val="28"/>
          <w:u w:val="single"/>
        </w:rPr>
        <w:t xml:space="preserve">                                           </w:t>
      </w:r>
    </w:p>
    <w:p>
      <w:pPr>
        <w:rPr>
          <w:b/>
          <w:sz w:val="28"/>
          <w:szCs w:val="28"/>
        </w:rPr>
      </w:pPr>
    </w:p>
    <w:p>
      <w:pPr>
        <w:rPr>
          <w:b/>
          <w:sz w:val="28"/>
          <w:szCs w:val="28"/>
          <w:u w:val="single"/>
        </w:rPr>
      </w:pPr>
      <w:r>
        <w:rPr>
          <w:rFonts w:hint="eastAsia"/>
          <w:b/>
          <w:sz w:val="28"/>
          <w:szCs w:val="28"/>
        </w:rPr>
        <w:t>报价单位：</w:t>
      </w:r>
      <w:r>
        <w:rPr>
          <w:rFonts w:hint="eastAsia"/>
          <w:b/>
          <w:sz w:val="28"/>
          <w:szCs w:val="28"/>
          <w:u w:val="single"/>
        </w:rPr>
        <w:t xml:space="preserve">                                           </w:t>
      </w:r>
    </w:p>
    <w:p>
      <w:pPr>
        <w:rPr>
          <w:b/>
          <w:sz w:val="28"/>
          <w:szCs w:val="28"/>
        </w:rPr>
      </w:pPr>
    </w:p>
    <w:p>
      <w:pPr>
        <w:rPr>
          <w:b/>
          <w:sz w:val="28"/>
          <w:szCs w:val="28"/>
          <w:u w:val="single"/>
        </w:rPr>
      </w:pPr>
      <w:r>
        <w:rPr>
          <w:rFonts w:hint="eastAsia"/>
          <w:b/>
          <w:sz w:val="28"/>
          <w:szCs w:val="28"/>
        </w:rPr>
        <w:t>授权代表：</w:t>
      </w:r>
      <w:r>
        <w:rPr>
          <w:rFonts w:hint="eastAsia"/>
          <w:b/>
          <w:sz w:val="28"/>
          <w:szCs w:val="28"/>
          <w:u w:val="single"/>
        </w:rPr>
        <w:t xml:space="preserve">                                           </w:t>
      </w:r>
    </w:p>
    <w:p>
      <w:pPr>
        <w:rPr>
          <w:b/>
          <w:sz w:val="28"/>
          <w:szCs w:val="28"/>
        </w:rPr>
      </w:pPr>
    </w:p>
    <w:p>
      <w:pPr>
        <w:rPr>
          <w:b/>
          <w:sz w:val="28"/>
          <w:szCs w:val="28"/>
          <w:u w:val="single"/>
        </w:rPr>
      </w:pPr>
      <w:r>
        <w:rPr>
          <w:rFonts w:hint="eastAsia"/>
          <w:b/>
          <w:sz w:val="28"/>
          <w:szCs w:val="28"/>
        </w:rPr>
        <w:t>联系方式：</w:t>
      </w:r>
      <w:r>
        <w:rPr>
          <w:rFonts w:hint="eastAsia"/>
          <w:b/>
          <w:sz w:val="28"/>
          <w:szCs w:val="28"/>
          <w:u w:val="single"/>
        </w:rPr>
        <w:t xml:space="preserve">                                           </w:t>
      </w:r>
    </w:p>
    <w:p>
      <w:pPr>
        <w:rPr>
          <w:b/>
          <w:sz w:val="28"/>
          <w:szCs w:val="28"/>
        </w:rPr>
      </w:pPr>
    </w:p>
    <w:p>
      <w:pPr>
        <w:rPr>
          <w:b/>
          <w:sz w:val="28"/>
          <w:szCs w:val="28"/>
          <w:u w:val="single"/>
        </w:rPr>
      </w:pPr>
      <w:r>
        <w:rPr>
          <w:rFonts w:hint="eastAsia"/>
          <w:b/>
          <w:sz w:val="28"/>
          <w:szCs w:val="28"/>
        </w:rPr>
        <w:t>报价日期：</w:t>
      </w:r>
      <w:r>
        <w:rPr>
          <w:rFonts w:hint="eastAsia"/>
          <w:b/>
          <w:sz w:val="28"/>
          <w:szCs w:val="28"/>
          <w:u w:val="single"/>
        </w:rPr>
        <w:t xml:space="preserve">                                           </w:t>
      </w:r>
    </w:p>
    <w:p>
      <w:pPr>
        <w:rPr>
          <w:b/>
          <w:sz w:val="28"/>
          <w:szCs w:val="28"/>
        </w:rPr>
      </w:pPr>
    </w:p>
    <w:p>
      <w:pPr>
        <w:rPr>
          <w:b/>
          <w:sz w:val="28"/>
          <w:szCs w:val="28"/>
        </w:rPr>
      </w:pPr>
    </w:p>
    <w:p>
      <w:pPr>
        <w:rPr>
          <w:b/>
          <w:sz w:val="28"/>
          <w:szCs w:val="28"/>
        </w:rPr>
      </w:pPr>
    </w:p>
    <w:p>
      <w:pPr>
        <w:rPr>
          <w:b/>
          <w:sz w:val="28"/>
          <w:szCs w:val="28"/>
        </w:rPr>
      </w:pPr>
    </w:p>
    <w:p>
      <w:pPr>
        <w:pStyle w:val="3"/>
        <w:spacing w:line="400" w:lineRule="exact"/>
        <w:jc w:val="both"/>
        <w:rPr>
          <w:rFonts w:ascii="宋体" w:hAnsi="宋体" w:cs="黑体"/>
          <w:sz w:val="28"/>
          <w:szCs w:val="28"/>
        </w:rPr>
      </w:pPr>
      <w:bookmarkStart w:id="3" w:name="_Toc2888"/>
      <w:r>
        <w:rPr>
          <w:rFonts w:hint="eastAsia" w:ascii="宋体" w:hAnsi="宋体" w:cs="黑体"/>
          <w:sz w:val="28"/>
          <w:szCs w:val="28"/>
        </w:rPr>
        <w:t>二、报价一览表</w:t>
      </w:r>
      <w:bookmarkEnd w:id="3"/>
    </w:p>
    <w:p>
      <w:pPr>
        <w:spacing w:line="460" w:lineRule="exact"/>
        <w:jc w:val="center"/>
        <w:rPr>
          <w:rFonts w:ascii="宋体" w:hAnsi="宋体" w:cs="黑体"/>
          <w:sz w:val="24"/>
          <w:szCs w:val="24"/>
        </w:rPr>
      </w:pPr>
      <w:r>
        <w:rPr>
          <w:rFonts w:hint="eastAsia" w:ascii="宋体" w:hAnsi="宋体" w:cs="黑体"/>
          <w:sz w:val="24"/>
          <w:szCs w:val="24"/>
        </w:rPr>
        <w:t>报价一览表</w:t>
      </w:r>
    </w:p>
    <w:p>
      <w:pPr>
        <w:pStyle w:val="4"/>
        <w:spacing w:line="460" w:lineRule="exact"/>
        <w:ind w:firstLine="0"/>
        <w:jc w:val="both"/>
        <w:rPr>
          <w:rFonts w:hint="eastAsia" w:ascii="宋体" w:hAnsi="宋体" w:cs="黑体"/>
          <w:bCs/>
          <w:sz w:val="24"/>
          <w:szCs w:val="24"/>
        </w:rPr>
      </w:pPr>
      <w:r>
        <w:rPr>
          <w:rFonts w:hint="eastAsia" w:ascii="宋体" w:hAnsi="宋体" w:cs="黑体"/>
          <w:bCs/>
          <w:sz w:val="24"/>
          <w:szCs w:val="24"/>
        </w:rPr>
        <w:t>供应商名称</w:t>
      </w:r>
      <w:r>
        <w:rPr>
          <w:rFonts w:hint="eastAsia" w:ascii="宋体" w:hAnsi="宋体" w:cs="黑体"/>
          <w:bCs/>
          <w:sz w:val="24"/>
          <w:szCs w:val="24"/>
          <w:u w:val="single"/>
        </w:rPr>
        <w:t xml:space="preserve">：          </w:t>
      </w:r>
      <w:r>
        <w:rPr>
          <w:rFonts w:hint="eastAsia" w:ascii="宋体" w:hAnsi="宋体" w:cs="黑体"/>
          <w:bCs/>
          <w:sz w:val="24"/>
          <w:szCs w:val="24"/>
        </w:rPr>
        <w:t xml:space="preserve"> </w:t>
      </w:r>
    </w:p>
    <w:p>
      <w:pPr>
        <w:pStyle w:val="4"/>
        <w:spacing w:line="460" w:lineRule="exact"/>
        <w:ind w:firstLine="0"/>
        <w:jc w:val="both"/>
        <w:rPr>
          <w:rFonts w:hint="eastAsia" w:ascii="宋体" w:hAnsi="宋体" w:cs="黑体"/>
          <w:bCs/>
          <w:sz w:val="24"/>
          <w:szCs w:val="24"/>
        </w:rPr>
      </w:pPr>
    </w:p>
    <w:tbl>
      <w:tblPr>
        <w:tblStyle w:val="5"/>
        <w:tblW w:w="9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0"/>
        <w:gridCol w:w="3328"/>
        <w:gridCol w:w="1959"/>
        <w:gridCol w:w="1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trPr>
        <w:tc>
          <w:tcPr>
            <w:tcW w:w="2350" w:type="dxa"/>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宋体" w:hAnsi="宋体"/>
                <w:b/>
                <w:bCs/>
                <w:sz w:val="24"/>
                <w:szCs w:val="24"/>
              </w:rPr>
            </w:pPr>
            <w:r>
              <w:rPr>
                <w:rFonts w:hint="eastAsia" w:ascii="宋体" w:hAnsi="宋体" w:cs="黑体"/>
                <w:b/>
                <w:bCs/>
                <w:sz w:val="24"/>
                <w:szCs w:val="24"/>
              </w:rPr>
              <w:t>项目名称</w:t>
            </w:r>
          </w:p>
        </w:tc>
        <w:tc>
          <w:tcPr>
            <w:tcW w:w="3328" w:type="dxa"/>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hint="eastAsia" w:ascii="宋体" w:hAnsi="宋体" w:eastAsia="宋体"/>
                <w:b/>
                <w:bCs/>
                <w:sz w:val="24"/>
                <w:szCs w:val="24"/>
                <w:lang w:eastAsia="zh-CN"/>
              </w:rPr>
            </w:pPr>
            <w:r>
              <w:rPr>
                <w:rFonts w:hint="eastAsia" w:ascii="宋体" w:hAnsi="宋体" w:cs="黑体"/>
                <w:b/>
                <w:bCs/>
                <w:sz w:val="24"/>
                <w:szCs w:val="24"/>
                <w:lang w:eastAsia="zh-CN"/>
              </w:rPr>
              <w:t>总价</w:t>
            </w:r>
          </w:p>
        </w:tc>
        <w:tc>
          <w:tcPr>
            <w:tcW w:w="1959" w:type="dxa"/>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宋体" w:hAnsi="宋体"/>
                <w:b/>
                <w:bCs/>
                <w:sz w:val="24"/>
                <w:szCs w:val="24"/>
              </w:rPr>
            </w:pPr>
            <w:r>
              <w:rPr>
                <w:rFonts w:hint="eastAsia" w:ascii="宋体" w:hAnsi="宋体" w:cs="黑体"/>
                <w:b/>
                <w:bCs/>
                <w:sz w:val="24"/>
                <w:szCs w:val="24"/>
              </w:rPr>
              <w:t>交货期限</w:t>
            </w:r>
          </w:p>
        </w:tc>
        <w:tc>
          <w:tcPr>
            <w:tcW w:w="1567" w:type="dxa"/>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宋体" w:hAnsi="宋体"/>
                <w:b/>
                <w:bCs/>
                <w:sz w:val="24"/>
                <w:szCs w:val="24"/>
              </w:rPr>
            </w:pPr>
            <w:r>
              <w:rPr>
                <w:rFonts w:hint="eastAsia" w:ascii="宋体" w:hAnsi="宋体" w:cs="黑体"/>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2350" w:type="dxa"/>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宋体" w:hAnsi="宋体"/>
                <w:sz w:val="24"/>
                <w:szCs w:val="24"/>
              </w:rPr>
            </w:pPr>
          </w:p>
        </w:tc>
        <w:tc>
          <w:tcPr>
            <w:tcW w:w="3328" w:type="dxa"/>
            <w:noWrap w:val="0"/>
            <w:vAlign w:val="top"/>
          </w:tcPr>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宋体" w:hAnsi="宋体"/>
                <w:sz w:val="24"/>
                <w:szCs w:val="24"/>
              </w:rPr>
            </w:pPr>
          </w:p>
        </w:tc>
        <w:tc>
          <w:tcPr>
            <w:tcW w:w="1959" w:type="dxa"/>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宋体" w:hAnsi="宋体"/>
                <w:sz w:val="24"/>
                <w:szCs w:val="24"/>
              </w:rPr>
            </w:pPr>
          </w:p>
        </w:tc>
        <w:tc>
          <w:tcPr>
            <w:tcW w:w="1567" w:type="dxa"/>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宋体" w:hAnsi="宋体"/>
                <w:sz w:val="24"/>
                <w:szCs w:val="24"/>
              </w:rPr>
            </w:pPr>
          </w:p>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2350" w:type="dxa"/>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宋体" w:hAnsi="宋体"/>
                <w:b/>
                <w:bCs/>
                <w:sz w:val="24"/>
                <w:szCs w:val="24"/>
              </w:rPr>
            </w:pPr>
            <w:r>
              <w:rPr>
                <w:rFonts w:hint="eastAsia" w:ascii="宋体" w:hAnsi="宋体" w:cs="黑体"/>
                <w:b/>
                <w:bCs/>
                <w:sz w:val="24"/>
                <w:szCs w:val="24"/>
              </w:rPr>
              <w:t>投报总价（大写）</w:t>
            </w:r>
          </w:p>
        </w:tc>
        <w:tc>
          <w:tcPr>
            <w:tcW w:w="6854" w:type="dxa"/>
            <w:gridSpan w:val="3"/>
            <w:noWrap w:val="0"/>
            <w:vAlign w:val="top"/>
          </w:tcPr>
          <w:p>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宋体" w:hAnsi="宋体"/>
                <w:sz w:val="24"/>
                <w:szCs w:val="24"/>
              </w:rPr>
            </w:pPr>
          </w:p>
        </w:tc>
      </w:tr>
    </w:tbl>
    <w:p>
      <w:pPr>
        <w:spacing w:line="460" w:lineRule="exact"/>
        <w:rPr>
          <w:rFonts w:ascii="宋体" w:hAnsi="宋体"/>
          <w:sz w:val="24"/>
          <w:szCs w:val="24"/>
        </w:rPr>
      </w:pPr>
    </w:p>
    <w:p>
      <w:pPr>
        <w:spacing w:line="460" w:lineRule="exact"/>
        <w:rPr>
          <w:rFonts w:ascii="宋体" w:hAnsi="宋体"/>
          <w:sz w:val="24"/>
          <w:szCs w:val="24"/>
        </w:rPr>
      </w:pPr>
    </w:p>
    <w:p>
      <w:pPr>
        <w:spacing w:line="460" w:lineRule="exact"/>
        <w:ind w:firstLine="480" w:firstLineChars="200"/>
        <w:rPr>
          <w:rFonts w:ascii="宋体" w:hAnsi="宋体" w:cs="黑体"/>
          <w:sz w:val="24"/>
          <w:szCs w:val="24"/>
        </w:rPr>
      </w:pPr>
      <w:r>
        <w:rPr>
          <w:rFonts w:hint="eastAsia" w:ascii="宋体" w:hAnsi="宋体" w:cs="黑体"/>
          <w:sz w:val="24"/>
          <w:szCs w:val="24"/>
        </w:rPr>
        <w:t>供应商代表签字</w:t>
      </w:r>
      <w:r>
        <w:rPr>
          <w:rFonts w:ascii="宋体" w:hAnsi="宋体" w:cs="黑体"/>
          <w:sz w:val="24"/>
          <w:szCs w:val="24"/>
        </w:rPr>
        <w:t>:</w:t>
      </w:r>
    </w:p>
    <w:p>
      <w:pPr>
        <w:spacing w:line="460" w:lineRule="exact"/>
        <w:ind w:firstLine="480" w:firstLineChars="200"/>
        <w:jc w:val="left"/>
        <w:rPr>
          <w:rFonts w:ascii="宋体" w:hAnsi="宋体" w:cs="黑体"/>
          <w:sz w:val="24"/>
          <w:szCs w:val="24"/>
        </w:rPr>
      </w:pPr>
      <w:r>
        <w:rPr>
          <w:rFonts w:hint="eastAsia" w:ascii="宋体" w:hAnsi="宋体" w:cs="黑体"/>
          <w:sz w:val="24"/>
          <w:szCs w:val="24"/>
        </w:rPr>
        <w:t>单位盖章：</w:t>
      </w:r>
    </w:p>
    <w:p>
      <w:pPr>
        <w:spacing w:line="460" w:lineRule="exact"/>
        <w:ind w:firstLine="480" w:firstLineChars="200"/>
        <w:jc w:val="left"/>
        <w:rPr>
          <w:rFonts w:ascii="宋体" w:hAnsi="宋体" w:cs="黑体"/>
          <w:sz w:val="24"/>
          <w:szCs w:val="24"/>
        </w:rPr>
      </w:pPr>
      <w:r>
        <w:rPr>
          <w:rFonts w:hint="eastAsia" w:ascii="宋体" w:hAnsi="宋体" w:cs="黑体"/>
          <w:sz w:val="24"/>
          <w:szCs w:val="24"/>
        </w:rPr>
        <w:t>日 期：</w:t>
      </w:r>
    </w:p>
    <w:p>
      <w:pPr>
        <w:spacing w:line="460" w:lineRule="exact"/>
        <w:rPr>
          <w:rFonts w:ascii="宋体" w:hAnsi="宋体"/>
          <w:sz w:val="24"/>
          <w:szCs w:val="24"/>
        </w:rPr>
      </w:pPr>
    </w:p>
    <w:p>
      <w:pPr>
        <w:spacing w:line="460" w:lineRule="exact"/>
        <w:rPr>
          <w:rFonts w:ascii="宋体" w:hAnsi="宋体" w:cs="黑体"/>
          <w:sz w:val="24"/>
          <w:szCs w:val="24"/>
        </w:rPr>
      </w:pPr>
      <w:r>
        <w:rPr>
          <w:rFonts w:hint="eastAsia" w:ascii="宋体" w:hAnsi="宋体" w:cs="黑体"/>
          <w:sz w:val="24"/>
          <w:szCs w:val="24"/>
        </w:rPr>
        <w:t>注：</w:t>
      </w:r>
      <w:r>
        <w:rPr>
          <w:rFonts w:hint="eastAsia" w:ascii="宋体" w:hAnsi="宋体"/>
          <w:sz w:val="24"/>
          <w:szCs w:val="24"/>
        </w:rPr>
        <w:t>1.</w:t>
      </w:r>
      <w:r>
        <w:rPr>
          <w:rFonts w:hint="eastAsia" w:ascii="宋体" w:hAnsi="宋体" w:cs="黑体"/>
          <w:sz w:val="24"/>
          <w:szCs w:val="24"/>
        </w:rPr>
        <w:t>报价表中的内容必须填写完整并应简明扼要。</w:t>
      </w:r>
    </w:p>
    <w:p>
      <w:pPr>
        <w:tabs>
          <w:tab w:val="left" w:pos="425"/>
          <w:tab w:val="left" w:pos="845"/>
        </w:tabs>
        <w:spacing w:line="460" w:lineRule="exact"/>
        <w:ind w:firstLine="480" w:firstLineChars="200"/>
        <w:rPr>
          <w:rFonts w:ascii="宋体" w:hAnsi="宋体"/>
          <w:sz w:val="24"/>
          <w:szCs w:val="24"/>
        </w:rPr>
      </w:pPr>
      <w:r>
        <w:rPr>
          <w:rFonts w:hint="eastAsia" w:ascii="宋体" w:hAnsi="宋体"/>
          <w:sz w:val="24"/>
          <w:szCs w:val="24"/>
        </w:rPr>
        <w:t>2.</w:t>
      </w:r>
      <w:r>
        <w:rPr>
          <w:rFonts w:hint="eastAsia" w:ascii="宋体" w:hAnsi="宋体" w:cs="黑体"/>
          <w:sz w:val="24"/>
          <w:szCs w:val="24"/>
        </w:rPr>
        <w:t>供应商认为应当说明而本表中无相应栏目的，请在“备注”一栏中说明。</w:t>
      </w:r>
    </w:p>
    <w:p>
      <w:pPr>
        <w:tabs>
          <w:tab w:val="left" w:pos="425"/>
          <w:tab w:val="left" w:pos="845"/>
        </w:tabs>
        <w:spacing w:line="460" w:lineRule="exact"/>
        <w:ind w:firstLine="480" w:firstLineChars="200"/>
        <w:rPr>
          <w:rFonts w:ascii="宋体" w:hAnsi="宋体"/>
          <w:sz w:val="24"/>
          <w:szCs w:val="24"/>
        </w:rPr>
      </w:pPr>
      <w:r>
        <w:rPr>
          <w:rFonts w:hint="eastAsia" w:ascii="宋体" w:hAnsi="宋体" w:cs="黑体"/>
          <w:sz w:val="24"/>
          <w:szCs w:val="24"/>
        </w:rPr>
        <w:t>3.若报价的大、小写金额不同，与大写金额为准。</w:t>
      </w:r>
    </w:p>
    <w:p>
      <w:pPr>
        <w:rPr>
          <w:b/>
          <w:sz w:val="28"/>
          <w:szCs w:val="28"/>
        </w:rPr>
        <w:sectPr>
          <w:pgSz w:w="11906" w:h="16838"/>
          <w:pgMar w:top="1440" w:right="1800" w:bottom="1440" w:left="1800" w:header="851" w:footer="992" w:gutter="0"/>
          <w:cols w:space="425" w:num="1"/>
          <w:docGrid w:type="lines" w:linePitch="312" w:charSpace="0"/>
        </w:sectPr>
      </w:pPr>
    </w:p>
    <w:p>
      <w:pPr>
        <w:pStyle w:val="3"/>
        <w:spacing w:line="400" w:lineRule="exact"/>
        <w:jc w:val="both"/>
        <w:rPr>
          <w:rFonts w:hint="eastAsia" w:ascii="宋体" w:hAnsi="宋体" w:cs="黑体"/>
          <w:sz w:val="28"/>
          <w:szCs w:val="28"/>
        </w:rPr>
      </w:pPr>
      <w:bookmarkStart w:id="4" w:name="_Toc23855"/>
      <w:bookmarkStart w:id="5" w:name="_Toc434845540"/>
      <w:r>
        <w:rPr>
          <w:rFonts w:hint="eastAsia" w:ascii="宋体" w:hAnsi="宋体" w:cs="黑体"/>
          <w:sz w:val="28"/>
          <w:szCs w:val="28"/>
        </w:rPr>
        <w:t>三、分项报价表</w:t>
      </w:r>
      <w:bookmarkEnd w:id="4"/>
      <w:bookmarkEnd w:id="5"/>
    </w:p>
    <w:p>
      <w:pPr>
        <w:spacing w:line="460" w:lineRule="exact"/>
        <w:jc w:val="center"/>
        <w:rPr>
          <w:rFonts w:ascii="宋体" w:hAnsi="宋体"/>
          <w:b/>
          <w:bCs/>
          <w:sz w:val="24"/>
          <w:szCs w:val="24"/>
        </w:rPr>
      </w:pPr>
      <w:r>
        <w:rPr>
          <w:rFonts w:hint="eastAsia" w:ascii="宋体" w:hAnsi="宋体" w:cs="黑体"/>
          <w:sz w:val="24"/>
          <w:szCs w:val="24"/>
        </w:rPr>
        <w:t>分项报价表</w:t>
      </w:r>
    </w:p>
    <w:p>
      <w:pPr>
        <w:pStyle w:val="4"/>
        <w:spacing w:line="460" w:lineRule="exact"/>
        <w:ind w:firstLine="0"/>
        <w:jc w:val="both"/>
        <w:rPr>
          <w:rFonts w:hint="eastAsia" w:ascii="宋体" w:hAnsi="宋体" w:cs="黑体"/>
          <w:bCs/>
          <w:sz w:val="24"/>
          <w:szCs w:val="24"/>
        </w:rPr>
      </w:pPr>
      <w:r>
        <w:rPr>
          <w:rFonts w:hint="eastAsia" w:ascii="宋体" w:hAnsi="宋体" w:cs="黑体"/>
          <w:bCs/>
          <w:sz w:val="24"/>
          <w:szCs w:val="24"/>
        </w:rPr>
        <w:t>供应商名称</w:t>
      </w:r>
      <w:r>
        <w:rPr>
          <w:rFonts w:hint="eastAsia" w:ascii="宋体" w:hAnsi="宋体" w:cs="黑体"/>
          <w:bCs/>
          <w:sz w:val="24"/>
          <w:szCs w:val="24"/>
          <w:u w:val="single"/>
        </w:rPr>
        <w:t xml:space="preserve">：          </w:t>
      </w:r>
      <w:r>
        <w:rPr>
          <w:rFonts w:hint="eastAsia" w:ascii="宋体" w:hAnsi="宋体" w:cs="黑体"/>
          <w:bCs/>
          <w:sz w:val="24"/>
          <w:szCs w:val="24"/>
        </w:rPr>
        <w:t xml:space="preserve"> </w:t>
      </w:r>
    </w:p>
    <w:p>
      <w:pPr>
        <w:pStyle w:val="4"/>
        <w:spacing w:line="460" w:lineRule="exact"/>
        <w:ind w:firstLine="0"/>
        <w:jc w:val="both"/>
        <w:rPr>
          <w:rFonts w:hint="eastAsia" w:ascii="宋体" w:hAnsi="宋体" w:cs="黑体"/>
          <w:bCs/>
          <w:sz w:val="24"/>
          <w:szCs w:val="24"/>
        </w:rPr>
      </w:pPr>
    </w:p>
    <w:tbl>
      <w:tblPr>
        <w:tblStyle w:val="5"/>
        <w:tblW w:w="9204"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42"/>
        <w:gridCol w:w="1405"/>
        <w:gridCol w:w="876"/>
        <w:gridCol w:w="1211"/>
        <w:gridCol w:w="1711"/>
        <w:gridCol w:w="1714"/>
        <w:gridCol w:w="11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42" w:type="dxa"/>
            <w:tcBorders>
              <w:top w:val="single" w:color="auto" w:sz="12" w:space="0"/>
            </w:tcBorders>
            <w:noWrap w:val="0"/>
            <w:vAlign w:val="center"/>
          </w:tcPr>
          <w:p>
            <w:pPr>
              <w:spacing w:line="360" w:lineRule="exact"/>
              <w:jc w:val="center"/>
              <w:rPr>
                <w:rFonts w:ascii="宋体" w:hAnsi="宋体"/>
                <w:sz w:val="24"/>
                <w:szCs w:val="24"/>
              </w:rPr>
            </w:pPr>
            <w:r>
              <w:rPr>
                <w:rFonts w:hint="eastAsia" w:ascii="宋体" w:hAnsi="宋体" w:cs="黑体"/>
                <w:sz w:val="24"/>
                <w:szCs w:val="24"/>
              </w:rPr>
              <w:t>序号</w:t>
            </w:r>
          </w:p>
        </w:tc>
        <w:tc>
          <w:tcPr>
            <w:tcW w:w="1405" w:type="dxa"/>
            <w:tcBorders>
              <w:top w:val="single" w:color="auto" w:sz="12" w:space="0"/>
            </w:tcBorders>
            <w:noWrap w:val="0"/>
            <w:vAlign w:val="center"/>
          </w:tcPr>
          <w:p>
            <w:pPr>
              <w:spacing w:line="360" w:lineRule="exact"/>
              <w:jc w:val="center"/>
              <w:rPr>
                <w:rFonts w:ascii="宋体" w:hAnsi="宋体"/>
                <w:sz w:val="24"/>
                <w:szCs w:val="24"/>
              </w:rPr>
            </w:pPr>
            <w:r>
              <w:rPr>
                <w:rFonts w:hint="eastAsia" w:ascii="宋体" w:hAnsi="宋体" w:cs="黑体"/>
                <w:sz w:val="24"/>
                <w:szCs w:val="24"/>
              </w:rPr>
              <w:t>货物名称</w:t>
            </w:r>
          </w:p>
        </w:tc>
        <w:tc>
          <w:tcPr>
            <w:tcW w:w="876" w:type="dxa"/>
            <w:tcBorders>
              <w:top w:val="single" w:color="auto" w:sz="12" w:space="0"/>
            </w:tcBorders>
            <w:noWrap w:val="0"/>
            <w:vAlign w:val="center"/>
          </w:tcPr>
          <w:p>
            <w:pPr>
              <w:spacing w:line="360" w:lineRule="exact"/>
              <w:jc w:val="center"/>
              <w:rPr>
                <w:rFonts w:ascii="宋体" w:hAnsi="宋体"/>
                <w:sz w:val="24"/>
                <w:szCs w:val="24"/>
              </w:rPr>
            </w:pPr>
            <w:r>
              <w:rPr>
                <w:rFonts w:hint="eastAsia" w:ascii="宋体" w:hAnsi="宋体" w:cs="黑体"/>
                <w:sz w:val="24"/>
                <w:szCs w:val="24"/>
              </w:rPr>
              <w:t>数量</w:t>
            </w:r>
          </w:p>
        </w:tc>
        <w:tc>
          <w:tcPr>
            <w:tcW w:w="1211" w:type="dxa"/>
            <w:tcBorders>
              <w:top w:val="single" w:color="auto" w:sz="12" w:space="0"/>
            </w:tcBorders>
            <w:noWrap w:val="0"/>
            <w:vAlign w:val="center"/>
          </w:tcPr>
          <w:p>
            <w:pPr>
              <w:spacing w:line="360" w:lineRule="exact"/>
              <w:jc w:val="center"/>
              <w:rPr>
                <w:rFonts w:ascii="宋体" w:hAnsi="宋体"/>
                <w:sz w:val="24"/>
                <w:szCs w:val="24"/>
              </w:rPr>
            </w:pPr>
            <w:r>
              <w:rPr>
                <w:rFonts w:hint="eastAsia" w:ascii="宋体" w:hAnsi="宋体" w:cs="黑体"/>
                <w:sz w:val="24"/>
                <w:szCs w:val="24"/>
              </w:rPr>
              <w:t>制造商</w:t>
            </w:r>
            <w:r>
              <w:rPr>
                <w:rFonts w:ascii="宋体" w:hAnsi="宋体" w:cs="黑体"/>
                <w:sz w:val="24"/>
                <w:szCs w:val="24"/>
              </w:rPr>
              <w:t>/</w:t>
            </w:r>
            <w:r>
              <w:rPr>
                <w:rFonts w:hint="eastAsia" w:ascii="宋体" w:hAnsi="宋体" w:cs="黑体"/>
                <w:sz w:val="24"/>
                <w:szCs w:val="24"/>
              </w:rPr>
              <w:t>产地</w:t>
            </w:r>
          </w:p>
        </w:tc>
        <w:tc>
          <w:tcPr>
            <w:tcW w:w="1711" w:type="dxa"/>
            <w:tcBorders>
              <w:top w:val="single" w:color="auto" w:sz="12" w:space="0"/>
            </w:tcBorders>
            <w:noWrap w:val="0"/>
            <w:vAlign w:val="center"/>
          </w:tcPr>
          <w:p>
            <w:pPr>
              <w:spacing w:line="360" w:lineRule="exact"/>
              <w:jc w:val="center"/>
              <w:rPr>
                <w:rFonts w:ascii="宋体" w:hAnsi="宋体"/>
                <w:sz w:val="24"/>
                <w:szCs w:val="24"/>
              </w:rPr>
            </w:pPr>
            <w:r>
              <w:rPr>
                <w:rFonts w:hint="eastAsia" w:ascii="宋体" w:hAnsi="宋体" w:cs="黑体"/>
                <w:sz w:val="24"/>
                <w:szCs w:val="24"/>
              </w:rPr>
              <w:t>品牌</w:t>
            </w:r>
            <w:r>
              <w:rPr>
                <w:rFonts w:hint="eastAsia" w:ascii="宋体" w:hAnsi="宋体" w:cs="黑体"/>
                <w:sz w:val="24"/>
                <w:szCs w:val="24"/>
                <w:lang w:eastAsia="zh-CN"/>
              </w:rPr>
              <w:t>及</w:t>
            </w:r>
            <w:r>
              <w:rPr>
                <w:rFonts w:hint="eastAsia" w:ascii="宋体" w:hAnsi="宋体" w:cs="黑体"/>
                <w:sz w:val="24"/>
                <w:szCs w:val="24"/>
              </w:rPr>
              <w:t>型号</w:t>
            </w:r>
          </w:p>
        </w:tc>
        <w:tc>
          <w:tcPr>
            <w:tcW w:w="1714" w:type="dxa"/>
            <w:tcBorders>
              <w:top w:val="single" w:color="auto" w:sz="12" w:space="0"/>
            </w:tcBorders>
            <w:noWrap w:val="0"/>
            <w:vAlign w:val="center"/>
          </w:tcPr>
          <w:p>
            <w:pPr>
              <w:spacing w:line="360" w:lineRule="exact"/>
              <w:jc w:val="center"/>
              <w:rPr>
                <w:rFonts w:ascii="宋体" w:hAnsi="宋体"/>
                <w:sz w:val="24"/>
                <w:szCs w:val="24"/>
              </w:rPr>
            </w:pPr>
            <w:r>
              <w:rPr>
                <w:rFonts w:hint="eastAsia" w:ascii="宋体" w:hAnsi="宋体" w:cs="黑体"/>
                <w:bCs/>
                <w:sz w:val="24"/>
                <w:szCs w:val="24"/>
              </w:rPr>
              <w:t>投报</w:t>
            </w:r>
            <w:r>
              <w:rPr>
                <w:rFonts w:hint="eastAsia" w:ascii="宋体" w:hAnsi="宋体" w:cs="黑体"/>
                <w:bCs/>
                <w:sz w:val="24"/>
                <w:szCs w:val="24"/>
                <w:lang w:eastAsia="zh-CN"/>
              </w:rPr>
              <w:t>单价</w:t>
            </w:r>
          </w:p>
        </w:tc>
        <w:tc>
          <w:tcPr>
            <w:tcW w:w="1145" w:type="dxa"/>
            <w:tcBorders>
              <w:top w:val="single" w:color="auto" w:sz="12" w:space="0"/>
            </w:tcBorders>
            <w:noWrap w:val="0"/>
            <w:vAlign w:val="center"/>
          </w:tcPr>
          <w:p>
            <w:pPr>
              <w:spacing w:line="360" w:lineRule="exact"/>
              <w:jc w:val="center"/>
              <w:rPr>
                <w:rFonts w:ascii="宋体" w:hAnsi="宋体"/>
                <w:sz w:val="24"/>
                <w:szCs w:val="24"/>
              </w:rPr>
            </w:pPr>
            <w:r>
              <w:rPr>
                <w:rFonts w:hint="eastAsia" w:ascii="宋体" w:hAnsi="宋体" w:cs="黑体"/>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42" w:type="dxa"/>
            <w:noWrap w:val="0"/>
            <w:vAlign w:val="center"/>
          </w:tcPr>
          <w:p>
            <w:pPr>
              <w:spacing w:line="460" w:lineRule="exact"/>
              <w:jc w:val="center"/>
              <w:rPr>
                <w:rFonts w:ascii="宋体" w:hAnsi="宋体" w:cs="黑体"/>
                <w:sz w:val="24"/>
                <w:szCs w:val="24"/>
              </w:rPr>
            </w:pPr>
            <w:r>
              <w:rPr>
                <w:rFonts w:ascii="宋体" w:hAnsi="宋体" w:cs="黑体"/>
                <w:sz w:val="24"/>
                <w:szCs w:val="24"/>
              </w:rPr>
              <w:t>1</w:t>
            </w:r>
          </w:p>
        </w:tc>
        <w:tc>
          <w:tcPr>
            <w:tcW w:w="1405" w:type="dxa"/>
            <w:noWrap w:val="0"/>
            <w:vAlign w:val="center"/>
          </w:tcPr>
          <w:p>
            <w:pPr>
              <w:spacing w:line="460" w:lineRule="exact"/>
              <w:jc w:val="center"/>
              <w:rPr>
                <w:rFonts w:ascii="宋体" w:hAnsi="宋体" w:cs="黑体"/>
                <w:sz w:val="24"/>
                <w:szCs w:val="24"/>
              </w:rPr>
            </w:pPr>
          </w:p>
        </w:tc>
        <w:tc>
          <w:tcPr>
            <w:tcW w:w="876" w:type="dxa"/>
            <w:noWrap w:val="0"/>
            <w:vAlign w:val="center"/>
          </w:tcPr>
          <w:p>
            <w:pPr>
              <w:spacing w:line="460" w:lineRule="exact"/>
              <w:jc w:val="center"/>
              <w:rPr>
                <w:rFonts w:ascii="宋体" w:hAnsi="宋体" w:cs="黑体"/>
                <w:sz w:val="24"/>
                <w:szCs w:val="24"/>
              </w:rPr>
            </w:pPr>
          </w:p>
        </w:tc>
        <w:tc>
          <w:tcPr>
            <w:tcW w:w="1211" w:type="dxa"/>
            <w:noWrap w:val="0"/>
            <w:vAlign w:val="center"/>
          </w:tcPr>
          <w:p>
            <w:pPr>
              <w:spacing w:line="460" w:lineRule="exact"/>
              <w:jc w:val="center"/>
              <w:rPr>
                <w:rFonts w:ascii="宋体" w:hAnsi="宋体" w:cs="黑体"/>
                <w:sz w:val="24"/>
                <w:szCs w:val="24"/>
              </w:rPr>
            </w:pPr>
          </w:p>
        </w:tc>
        <w:tc>
          <w:tcPr>
            <w:tcW w:w="1711" w:type="dxa"/>
            <w:noWrap w:val="0"/>
            <w:vAlign w:val="center"/>
          </w:tcPr>
          <w:p>
            <w:pPr>
              <w:spacing w:line="460" w:lineRule="exact"/>
              <w:jc w:val="center"/>
              <w:rPr>
                <w:rFonts w:ascii="宋体" w:hAnsi="宋体" w:cs="黑体"/>
                <w:sz w:val="24"/>
                <w:szCs w:val="24"/>
              </w:rPr>
            </w:pPr>
          </w:p>
        </w:tc>
        <w:tc>
          <w:tcPr>
            <w:tcW w:w="1714" w:type="dxa"/>
            <w:noWrap w:val="0"/>
            <w:vAlign w:val="center"/>
          </w:tcPr>
          <w:p>
            <w:pPr>
              <w:spacing w:line="460" w:lineRule="exact"/>
              <w:jc w:val="center"/>
              <w:rPr>
                <w:rFonts w:ascii="宋体" w:hAnsi="宋体" w:cs="黑体"/>
                <w:sz w:val="24"/>
                <w:szCs w:val="24"/>
              </w:rPr>
            </w:pPr>
          </w:p>
        </w:tc>
        <w:tc>
          <w:tcPr>
            <w:tcW w:w="1145" w:type="dxa"/>
            <w:noWrap w:val="0"/>
            <w:vAlign w:val="center"/>
          </w:tcPr>
          <w:p>
            <w:pPr>
              <w:spacing w:line="460" w:lineRule="exact"/>
              <w:jc w:val="center"/>
              <w:rPr>
                <w:rFonts w:ascii="宋体" w:hAnsi="宋体" w:cs="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42" w:type="dxa"/>
            <w:noWrap w:val="0"/>
            <w:vAlign w:val="center"/>
          </w:tcPr>
          <w:p>
            <w:pPr>
              <w:spacing w:line="460" w:lineRule="exact"/>
              <w:jc w:val="center"/>
              <w:rPr>
                <w:rFonts w:hint="default" w:ascii="宋体" w:hAnsi="宋体" w:eastAsia="宋体" w:cs="黑体"/>
                <w:sz w:val="24"/>
                <w:szCs w:val="24"/>
                <w:lang w:val="en-US" w:eastAsia="zh-CN"/>
              </w:rPr>
            </w:pPr>
            <w:r>
              <w:rPr>
                <w:rFonts w:hint="eastAsia" w:ascii="宋体" w:hAnsi="宋体" w:cs="黑体"/>
                <w:sz w:val="24"/>
                <w:szCs w:val="24"/>
                <w:lang w:val="en-US" w:eastAsia="zh-CN"/>
              </w:rPr>
              <w:t>...</w:t>
            </w:r>
          </w:p>
        </w:tc>
        <w:tc>
          <w:tcPr>
            <w:tcW w:w="1405" w:type="dxa"/>
            <w:noWrap w:val="0"/>
            <w:vAlign w:val="center"/>
          </w:tcPr>
          <w:p>
            <w:pPr>
              <w:spacing w:line="460" w:lineRule="exact"/>
              <w:jc w:val="center"/>
              <w:rPr>
                <w:rFonts w:ascii="宋体" w:hAnsi="宋体" w:cs="黑体"/>
                <w:sz w:val="24"/>
                <w:szCs w:val="24"/>
              </w:rPr>
            </w:pPr>
          </w:p>
        </w:tc>
        <w:tc>
          <w:tcPr>
            <w:tcW w:w="876" w:type="dxa"/>
            <w:noWrap w:val="0"/>
            <w:vAlign w:val="center"/>
          </w:tcPr>
          <w:p>
            <w:pPr>
              <w:spacing w:line="460" w:lineRule="exact"/>
              <w:jc w:val="center"/>
              <w:rPr>
                <w:rFonts w:ascii="宋体" w:hAnsi="宋体" w:cs="黑体"/>
                <w:sz w:val="24"/>
                <w:szCs w:val="24"/>
              </w:rPr>
            </w:pPr>
          </w:p>
        </w:tc>
        <w:tc>
          <w:tcPr>
            <w:tcW w:w="1211" w:type="dxa"/>
            <w:noWrap w:val="0"/>
            <w:vAlign w:val="center"/>
          </w:tcPr>
          <w:p>
            <w:pPr>
              <w:spacing w:line="460" w:lineRule="exact"/>
              <w:jc w:val="center"/>
              <w:rPr>
                <w:rFonts w:ascii="宋体" w:hAnsi="宋体" w:cs="黑体"/>
                <w:sz w:val="24"/>
                <w:szCs w:val="24"/>
              </w:rPr>
            </w:pPr>
          </w:p>
        </w:tc>
        <w:tc>
          <w:tcPr>
            <w:tcW w:w="1711" w:type="dxa"/>
            <w:noWrap w:val="0"/>
            <w:vAlign w:val="center"/>
          </w:tcPr>
          <w:p>
            <w:pPr>
              <w:spacing w:line="460" w:lineRule="exact"/>
              <w:jc w:val="center"/>
              <w:rPr>
                <w:rFonts w:ascii="宋体" w:hAnsi="宋体" w:cs="黑体"/>
                <w:sz w:val="24"/>
                <w:szCs w:val="24"/>
              </w:rPr>
            </w:pPr>
          </w:p>
        </w:tc>
        <w:tc>
          <w:tcPr>
            <w:tcW w:w="1714" w:type="dxa"/>
            <w:noWrap w:val="0"/>
            <w:vAlign w:val="center"/>
          </w:tcPr>
          <w:p>
            <w:pPr>
              <w:spacing w:line="460" w:lineRule="exact"/>
              <w:jc w:val="center"/>
              <w:rPr>
                <w:rFonts w:ascii="宋体" w:hAnsi="宋体" w:cs="黑体"/>
                <w:sz w:val="24"/>
                <w:szCs w:val="24"/>
              </w:rPr>
            </w:pPr>
          </w:p>
        </w:tc>
        <w:tc>
          <w:tcPr>
            <w:tcW w:w="1145" w:type="dxa"/>
            <w:noWrap w:val="0"/>
            <w:vAlign w:val="center"/>
          </w:tcPr>
          <w:p>
            <w:pPr>
              <w:spacing w:line="460" w:lineRule="exact"/>
              <w:jc w:val="center"/>
              <w:rPr>
                <w:rFonts w:ascii="宋体" w:hAnsi="宋体" w:cs="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345" w:type="dxa"/>
            <w:gridSpan w:val="5"/>
            <w:tcBorders>
              <w:bottom w:val="single" w:color="auto" w:sz="12" w:space="0"/>
            </w:tcBorders>
            <w:noWrap w:val="0"/>
            <w:vAlign w:val="center"/>
          </w:tcPr>
          <w:p>
            <w:pPr>
              <w:spacing w:line="460" w:lineRule="exact"/>
              <w:jc w:val="left"/>
              <w:rPr>
                <w:rFonts w:ascii="宋体" w:hAnsi="宋体"/>
                <w:sz w:val="24"/>
                <w:szCs w:val="24"/>
              </w:rPr>
            </w:pPr>
            <w:r>
              <w:rPr>
                <w:rFonts w:hint="eastAsia" w:ascii="宋体" w:hAnsi="宋体" w:cs="黑体"/>
                <w:sz w:val="24"/>
                <w:szCs w:val="24"/>
              </w:rPr>
              <w:t>合计：（大写）</w:t>
            </w:r>
          </w:p>
        </w:tc>
        <w:tc>
          <w:tcPr>
            <w:tcW w:w="2859" w:type="dxa"/>
            <w:gridSpan w:val="2"/>
            <w:tcBorders>
              <w:bottom w:val="single" w:color="auto" w:sz="12" w:space="0"/>
            </w:tcBorders>
            <w:noWrap w:val="0"/>
            <w:vAlign w:val="center"/>
          </w:tcPr>
          <w:p>
            <w:pPr>
              <w:spacing w:line="460" w:lineRule="exact"/>
              <w:jc w:val="left"/>
              <w:rPr>
                <w:rFonts w:ascii="宋体" w:hAnsi="宋体"/>
                <w:sz w:val="24"/>
                <w:szCs w:val="24"/>
              </w:rPr>
            </w:pPr>
            <w:r>
              <w:rPr>
                <w:rFonts w:hint="eastAsia" w:ascii="宋体" w:hAnsi="宋体" w:cs="黑体"/>
                <w:sz w:val="24"/>
                <w:szCs w:val="24"/>
              </w:rPr>
              <w:t>￥：（小写）</w:t>
            </w:r>
          </w:p>
        </w:tc>
      </w:tr>
    </w:tbl>
    <w:p>
      <w:pPr>
        <w:spacing w:line="460" w:lineRule="exact"/>
        <w:ind w:left="638" w:leftChars="0" w:hanging="638" w:hangingChars="266"/>
        <w:rPr>
          <w:rFonts w:hint="eastAsia" w:ascii="宋体" w:hAnsi="宋体" w:cs="黑体" w:eastAsiaTheme="minorEastAsia"/>
          <w:sz w:val="24"/>
          <w:szCs w:val="24"/>
          <w:lang w:eastAsia="zh-CN"/>
        </w:rPr>
      </w:pPr>
      <w:r>
        <w:rPr>
          <w:rFonts w:hint="eastAsia" w:ascii="宋体" w:hAnsi="宋体" w:cs="黑体"/>
          <w:sz w:val="24"/>
          <w:szCs w:val="24"/>
        </w:rPr>
        <w:t>注：</w:t>
      </w:r>
      <w:r>
        <w:rPr>
          <w:rFonts w:ascii="宋体" w:hAnsi="宋体" w:cs="黑体"/>
          <w:sz w:val="24"/>
          <w:szCs w:val="24"/>
        </w:rPr>
        <w:t>1</w:t>
      </w:r>
      <w:r>
        <w:rPr>
          <w:rFonts w:hint="eastAsia" w:ascii="宋体" w:hAnsi="宋体" w:cs="黑体"/>
          <w:sz w:val="24"/>
          <w:szCs w:val="24"/>
        </w:rPr>
        <w:t>.</w:t>
      </w:r>
      <w:r>
        <w:rPr>
          <w:rFonts w:hint="eastAsia" w:ascii="宋体" w:hAnsi="宋体" w:cs="黑体"/>
          <w:sz w:val="24"/>
          <w:szCs w:val="24"/>
          <w:lang w:eastAsia="zh-CN"/>
        </w:rPr>
        <w:t>分项报价应列明配套使用的辅材内容，同时各分项报价应</w:t>
      </w:r>
      <w:r>
        <w:rPr>
          <w:rFonts w:hint="eastAsia" w:cs="宋体" w:asciiTheme="minorEastAsia" w:hAnsiTheme="minorEastAsia"/>
          <w:color w:val="000000"/>
          <w:kern w:val="0"/>
          <w:sz w:val="26"/>
          <w:szCs w:val="26"/>
        </w:rPr>
        <w:t>含</w:t>
      </w:r>
      <w:r>
        <w:rPr>
          <w:rFonts w:hint="eastAsia" w:cs="宋体" w:asciiTheme="minorEastAsia" w:hAnsiTheme="minorEastAsia"/>
          <w:color w:val="000000"/>
          <w:kern w:val="0"/>
          <w:sz w:val="26"/>
          <w:szCs w:val="26"/>
          <w:lang w:eastAsia="zh-CN"/>
        </w:rPr>
        <w:t>货物</w:t>
      </w:r>
      <w:r>
        <w:rPr>
          <w:rFonts w:hint="eastAsia" w:cs="宋体" w:asciiTheme="minorEastAsia" w:hAnsiTheme="minorEastAsia"/>
          <w:color w:val="000000"/>
          <w:kern w:val="0"/>
          <w:sz w:val="26"/>
          <w:szCs w:val="26"/>
        </w:rPr>
        <w:t>单价、各种辅材、安装调试、运行维护及税金等费用</w:t>
      </w:r>
      <w:r>
        <w:rPr>
          <w:rFonts w:hint="eastAsia" w:cs="宋体" w:asciiTheme="minorEastAsia" w:hAnsiTheme="minorEastAsia"/>
          <w:color w:val="000000"/>
          <w:kern w:val="0"/>
          <w:sz w:val="26"/>
          <w:szCs w:val="26"/>
          <w:lang w:eastAsia="zh-CN"/>
        </w:rPr>
        <w:t>；</w:t>
      </w:r>
    </w:p>
    <w:p>
      <w:pPr>
        <w:spacing w:line="460" w:lineRule="exact"/>
        <w:ind w:left="635" w:leftChars="228" w:hanging="156" w:hangingChars="65"/>
        <w:rPr>
          <w:rFonts w:hint="eastAsia" w:ascii="宋体" w:hAnsi="宋体" w:eastAsiaTheme="minorEastAsia"/>
          <w:sz w:val="24"/>
          <w:szCs w:val="24"/>
          <w:lang w:eastAsia="zh-CN"/>
        </w:rPr>
      </w:pPr>
      <w:r>
        <w:rPr>
          <w:rFonts w:hint="eastAsia" w:ascii="宋体" w:hAnsi="宋体" w:cs="黑体"/>
          <w:sz w:val="24"/>
          <w:szCs w:val="24"/>
          <w:lang w:val="en-US" w:eastAsia="zh-CN"/>
        </w:rPr>
        <w:t>2.</w:t>
      </w:r>
      <w:r>
        <w:rPr>
          <w:rFonts w:hint="eastAsia" w:ascii="宋体" w:hAnsi="宋体" w:cs="黑体"/>
          <w:sz w:val="24"/>
          <w:szCs w:val="24"/>
        </w:rPr>
        <w:t>如果分项报价与总价不一致，以分项报价表单项汇总为准</w:t>
      </w:r>
      <w:r>
        <w:rPr>
          <w:rFonts w:hint="eastAsia" w:ascii="宋体" w:hAnsi="宋体" w:cs="黑体"/>
          <w:sz w:val="24"/>
          <w:szCs w:val="24"/>
          <w:lang w:eastAsia="zh-CN"/>
        </w:rPr>
        <w:t>；</w:t>
      </w:r>
    </w:p>
    <w:p>
      <w:pPr>
        <w:spacing w:line="460" w:lineRule="exact"/>
        <w:ind w:left="638" w:leftChars="0" w:hanging="638" w:hangingChars="266"/>
        <w:rPr>
          <w:rFonts w:hint="eastAsia" w:ascii="宋体" w:hAnsi="宋体" w:eastAsiaTheme="minorEastAsia"/>
          <w:sz w:val="24"/>
          <w:szCs w:val="24"/>
          <w:lang w:eastAsia="zh-CN"/>
        </w:rPr>
      </w:pPr>
      <w:r>
        <w:rPr>
          <w:rFonts w:ascii="宋体" w:hAnsi="宋体" w:cs="黑体"/>
          <w:sz w:val="24"/>
          <w:szCs w:val="24"/>
        </w:rPr>
        <w:t xml:space="preserve">    </w:t>
      </w:r>
      <w:r>
        <w:rPr>
          <w:rFonts w:hint="eastAsia" w:ascii="宋体" w:hAnsi="宋体" w:cs="黑体"/>
          <w:sz w:val="24"/>
          <w:szCs w:val="24"/>
          <w:lang w:val="en-US" w:eastAsia="zh-CN"/>
        </w:rPr>
        <w:t>3</w:t>
      </w:r>
      <w:r>
        <w:rPr>
          <w:rFonts w:hint="eastAsia" w:ascii="宋体" w:hAnsi="宋体" w:cs="黑体"/>
          <w:sz w:val="24"/>
          <w:szCs w:val="24"/>
        </w:rPr>
        <w:t>.如果不提供详细分项报价将视为没有实质性响应</w:t>
      </w:r>
      <w:r>
        <w:rPr>
          <w:rFonts w:hint="eastAsia" w:ascii="宋体" w:hAnsi="宋体" w:cs="黑体"/>
          <w:sz w:val="24"/>
          <w:szCs w:val="24"/>
          <w:lang w:eastAsia="zh-CN"/>
        </w:rPr>
        <w:t>咨询论证文件；</w:t>
      </w:r>
    </w:p>
    <w:p>
      <w:pPr>
        <w:spacing w:line="460" w:lineRule="exact"/>
        <w:ind w:left="635" w:leftChars="228" w:hanging="156" w:hangingChars="65"/>
        <w:rPr>
          <w:rFonts w:ascii="宋体" w:hAnsi="宋体"/>
          <w:sz w:val="24"/>
          <w:szCs w:val="24"/>
        </w:rPr>
      </w:pPr>
      <w:r>
        <w:rPr>
          <w:rFonts w:hint="eastAsia" w:ascii="宋体" w:hAnsi="宋体" w:cs="黑体"/>
          <w:sz w:val="24"/>
          <w:szCs w:val="24"/>
          <w:lang w:val="en-US" w:eastAsia="zh-CN"/>
        </w:rPr>
        <w:t>4</w:t>
      </w:r>
      <w:r>
        <w:rPr>
          <w:rFonts w:hint="eastAsia" w:ascii="宋体" w:hAnsi="宋体" w:cs="黑体"/>
          <w:sz w:val="24"/>
          <w:szCs w:val="24"/>
        </w:rPr>
        <w:t>.</w:t>
      </w:r>
      <w:r>
        <w:rPr>
          <w:rFonts w:hint="eastAsia" w:ascii="宋体" w:hAnsi="宋体" w:cs="黑体"/>
          <w:sz w:val="24"/>
          <w:szCs w:val="24"/>
          <w:lang w:eastAsia="zh-CN"/>
        </w:rPr>
        <w:t>合计金额</w:t>
      </w:r>
      <w:r>
        <w:rPr>
          <w:rFonts w:hint="eastAsia" w:ascii="宋体" w:hAnsi="宋体" w:cs="黑体"/>
          <w:sz w:val="24"/>
          <w:szCs w:val="24"/>
        </w:rPr>
        <w:t>应等于“报价一览表”中的投报总价。</w:t>
      </w:r>
    </w:p>
    <w:p>
      <w:pPr>
        <w:spacing w:line="460" w:lineRule="exact"/>
        <w:ind w:firstLine="480" w:firstLineChars="200"/>
        <w:rPr>
          <w:rFonts w:ascii="宋体" w:hAnsi="宋体"/>
          <w:sz w:val="24"/>
          <w:szCs w:val="24"/>
        </w:rPr>
      </w:pPr>
    </w:p>
    <w:p>
      <w:pPr>
        <w:spacing w:line="460" w:lineRule="exact"/>
        <w:ind w:firstLine="480" w:firstLineChars="200"/>
        <w:rPr>
          <w:rFonts w:ascii="宋体" w:hAnsi="宋体" w:cs="黑体"/>
          <w:sz w:val="24"/>
          <w:szCs w:val="24"/>
        </w:rPr>
      </w:pPr>
      <w:r>
        <w:rPr>
          <w:rFonts w:hint="eastAsia" w:ascii="宋体" w:hAnsi="宋体" w:cs="黑体"/>
          <w:sz w:val="24"/>
          <w:szCs w:val="24"/>
        </w:rPr>
        <w:t>供应商代表签字</w:t>
      </w:r>
      <w:r>
        <w:rPr>
          <w:rFonts w:ascii="宋体" w:hAnsi="宋体" w:cs="黑体"/>
          <w:sz w:val="24"/>
          <w:szCs w:val="24"/>
        </w:rPr>
        <w:t>:</w:t>
      </w:r>
    </w:p>
    <w:p>
      <w:pPr>
        <w:spacing w:line="460" w:lineRule="exact"/>
        <w:ind w:firstLine="480" w:firstLineChars="200"/>
        <w:jc w:val="left"/>
        <w:rPr>
          <w:rFonts w:ascii="宋体" w:hAnsi="宋体" w:cs="黑体"/>
          <w:sz w:val="24"/>
          <w:szCs w:val="24"/>
        </w:rPr>
      </w:pPr>
      <w:r>
        <w:rPr>
          <w:rFonts w:hint="eastAsia" w:ascii="宋体" w:hAnsi="宋体" w:cs="黑体"/>
          <w:sz w:val="24"/>
          <w:szCs w:val="24"/>
        </w:rPr>
        <w:t>单位盖章：</w:t>
      </w:r>
    </w:p>
    <w:p>
      <w:pPr>
        <w:spacing w:line="460" w:lineRule="exact"/>
        <w:ind w:firstLine="480" w:firstLineChars="200"/>
        <w:jc w:val="left"/>
        <w:rPr>
          <w:rFonts w:ascii="宋体" w:hAnsi="宋体" w:cs="黑体"/>
          <w:sz w:val="24"/>
          <w:szCs w:val="24"/>
        </w:rPr>
      </w:pPr>
      <w:r>
        <w:rPr>
          <w:rFonts w:hint="eastAsia" w:ascii="宋体" w:hAnsi="宋体" w:cs="黑体"/>
          <w:sz w:val="24"/>
          <w:szCs w:val="24"/>
        </w:rPr>
        <w:t>日 期：</w:t>
      </w:r>
    </w:p>
    <w:p>
      <w:pPr>
        <w:rPr>
          <w:rFonts w:hint="eastAsia" w:ascii="黑体" w:hAnsi="宋体" w:eastAsia="黑体"/>
          <w:color w:val="000000"/>
          <w:sz w:val="30"/>
          <w:szCs w:val="30"/>
          <w:lang w:val="en-US" w:eastAsia="zh-CN"/>
        </w:rPr>
        <w:sectPr>
          <w:pgSz w:w="11906" w:h="16838"/>
          <w:pgMar w:top="935" w:right="1800" w:bottom="935" w:left="1800" w:header="851" w:footer="992" w:gutter="0"/>
          <w:cols w:space="720" w:num="1"/>
          <w:rtlGutter w:val="0"/>
          <w:docGrid w:type="lines" w:linePitch="312" w:charSpace="0"/>
        </w:sectPr>
      </w:pPr>
      <w:r>
        <w:rPr>
          <w:rFonts w:hint="eastAsia" w:ascii="黑体" w:hAnsi="宋体" w:eastAsia="黑体"/>
          <w:color w:val="000000"/>
          <w:sz w:val="30"/>
          <w:szCs w:val="30"/>
          <w:lang w:val="en-US" w:eastAsia="zh-CN"/>
        </w:rPr>
        <w:t xml:space="preserve">  </w:t>
      </w:r>
    </w:p>
    <w:p>
      <w:pPr>
        <w:pStyle w:val="3"/>
        <w:spacing w:line="400" w:lineRule="exact"/>
        <w:jc w:val="both"/>
        <w:rPr>
          <w:rFonts w:hint="eastAsia" w:ascii="宋体" w:hAnsi="宋体" w:cs="黑体"/>
          <w:sz w:val="28"/>
          <w:szCs w:val="28"/>
        </w:rPr>
      </w:pPr>
      <w:bookmarkStart w:id="6" w:name="_Toc416813491"/>
      <w:bookmarkStart w:id="7" w:name="_Toc73"/>
      <w:bookmarkStart w:id="8" w:name="_Toc390256551"/>
      <w:bookmarkStart w:id="9" w:name="_Toc435611235"/>
      <w:bookmarkStart w:id="10" w:name="_Toc229477022"/>
      <w:r>
        <w:rPr>
          <w:rFonts w:hint="eastAsia" w:ascii="宋体" w:hAnsi="宋体" w:cs="黑体"/>
          <w:sz w:val="28"/>
          <w:szCs w:val="28"/>
          <w:lang w:eastAsia="zh-CN"/>
        </w:rPr>
        <w:t>四</w:t>
      </w:r>
      <w:r>
        <w:rPr>
          <w:rFonts w:hint="eastAsia" w:ascii="宋体" w:hAnsi="宋体" w:cs="黑体"/>
          <w:sz w:val="28"/>
          <w:szCs w:val="28"/>
        </w:rPr>
        <w:t>、技术</w:t>
      </w:r>
      <w:r>
        <w:rPr>
          <w:rFonts w:hint="eastAsia" w:ascii="宋体" w:hAnsi="宋体" w:cs="黑体"/>
          <w:sz w:val="28"/>
          <w:szCs w:val="28"/>
          <w:lang w:eastAsia="zh-CN"/>
        </w:rPr>
        <w:t>及商务</w:t>
      </w:r>
      <w:r>
        <w:rPr>
          <w:rFonts w:hint="eastAsia" w:ascii="宋体" w:hAnsi="宋体" w:cs="黑体"/>
          <w:sz w:val="28"/>
          <w:szCs w:val="28"/>
        </w:rPr>
        <w:t>条款响应表</w:t>
      </w:r>
      <w:bookmarkEnd w:id="6"/>
      <w:bookmarkEnd w:id="7"/>
      <w:bookmarkEnd w:id="8"/>
      <w:bookmarkEnd w:id="9"/>
      <w:bookmarkEnd w:id="10"/>
    </w:p>
    <w:p>
      <w:pPr>
        <w:spacing w:line="460" w:lineRule="exact"/>
        <w:jc w:val="center"/>
        <w:rPr>
          <w:rFonts w:ascii="宋体" w:hAnsi="宋体"/>
          <w:sz w:val="24"/>
          <w:szCs w:val="24"/>
        </w:rPr>
      </w:pPr>
      <w:r>
        <w:rPr>
          <w:rFonts w:hint="eastAsia" w:ascii="宋体" w:hAnsi="宋体" w:cs="黑体"/>
          <w:sz w:val="24"/>
          <w:szCs w:val="24"/>
          <w:lang w:eastAsia="zh-CN"/>
        </w:rPr>
        <w:t>采购</w:t>
      </w:r>
      <w:r>
        <w:rPr>
          <w:rFonts w:hint="eastAsia" w:ascii="宋体" w:hAnsi="宋体" w:cs="黑体"/>
          <w:sz w:val="24"/>
          <w:szCs w:val="24"/>
        </w:rPr>
        <w:t>项目技术要求响应表</w:t>
      </w:r>
    </w:p>
    <w:p>
      <w:pPr>
        <w:pStyle w:val="4"/>
        <w:spacing w:line="460" w:lineRule="exact"/>
        <w:ind w:firstLine="0"/>
        <w:jc w:val="both"/>
        <w:rPr>
          <w:rFonts w:ascii="宋体" w:hAnsi="宋体" w:cs="黑体"/>
          <w:bCs/>
          <w:sz w:val="24"/>
          <w:szCs w:val="24"/>
        </w:rPr>
      </w:pPr>
      <w:r>
        <w:rPr>
          <w:rFonts w:hint="eastAsia" w:ascii="宋体" w:hAnsi="宋体" w:cs="黑体"/>
          <w:bCs/>
          <w:sz w:val="24"/>
          <w:szCs w:val="24"/>
        </w:rPr>
        <w:t>供应商名称：</w:t>
      </w:r>
      <w:r>
        <w:rPr>
          <w:rFonts w:hint="eastAsia" w:ascii="宋体" w:hAnsi="宋体" w:cs="黑体"/>
          <w:bCs/>
          <w:sz w:val="24"/>
          <w:szCs w:val="24"/>
          <w:u w:val="single"/>
        </w:rPr>
        <w:t xml:space="preserve">                   </w:t>
      </w:r>
      <w:r>
        <w:rPr>
          <w:rFonts w:hint="eastAsia" w:ascii="宋体" w:hAnsi="宋体" w:cs="黑体"/>
          <w:bCs/>
          <w:sz w:val="24"/>
          <w:szCs w:val="24"/>
        </w:rPr>
        <w:t xml:space="preserve"> </w:t>
      </w:r>
    </w:p>
    <w:tbl>
      <w:tblPr>
        <w:tblStyle w:val="5"/>
        <w:tblW w:w="9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1"/>
        <w:gridCol w:w="3319"/>
        <w:gridCol w:w="2732"/>
        <w:gridCol w:w="2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r>
              <w:rPr>
                <w:rFonts w:hint="eastAsia" w:ascii="宋体" w:hAnsi="宋体" w:cs="黑体"/>
                <w:sz w:val="18"/>
                <w:szCs w:val="18"/>
              </w:rPr>
              <w:t>条款号</w:t>
            </w:r>
          </w:p>
        </w:tc>
        <w:tc>
          <w:tcPr>
            <w:tcW w:w="3319" w:type="dxa"/>
            <w:noWrap w:val="0"/>
            <w:vAlign w:val="center"/>
          </w:tcPr>
          <w:p>
            <w:pPr>
              <w:spacing w:line="460" w:lineRule="exact"/>
              <w:jc w:val="center"/>
              <w:rPr>
                <w:rFonts w:ascii="宋体" w:hAnsi="宋体"/>
                <w:sz w:val="18"/>
                <w:szCs w:val="18"/>
              </w:rPr>
            </w:pPr>
            <w:r>
              <w:rPr>
                <w:rFonts w:hint="eastAsia" w:ascii="宋体" w:hAnsi="宋体" w:cs="黑体"/>
                <w:sz w:val="18"/>
                <w:szCs w:val="18"/>
              </w:rPr>
              <w:t>采购要求</w:t>
            </w:r>
          </w:p>
        </w:tc>
        <w:tc>
          <w:tcPr>
            <w:tcW w:w="2732" w:type="dxa"/>
            <w:noWrap w:val="0"/>
            <w:vAlign w:val="center"/>
          </w:tcPr>
          <w:p>
            <w:pPr>
              <w:spacing w:line="460" w:lineRule="exact"/>
              <w:jc w:val="center"/>
              <w:rPr>
                <w:rFonts w:ascii="宋体" w:hAnsi="宋体"/>
                <w:sz w:val="18"/>
                <w:szCs w:val="18"/>
              </w:rPr>
            </w:pPr>
            <w:r>
              <w:rPr>
                <w:rFonts w:hint="eastAsia" w:ascii="宋体" w:hAnsi="宋体" w:cs="黑体"/>
                <w:sz w:val="18"/>
                <w:szCs w:val="18"/>
              </w:rPr>
              <w:t>供应商响应</w:t>
            </w:r>
          </w:p>
        </w:tc>
        <w:tc>
          <w:tcPr>
            <w:tcW w:w="2102" w:type="dxa"/>
            <w:noWrap w:val="0"/>
            <w:vAlign w:val="center"/>
          </w:tcPr>
          <w:p>
            <w:pPr>
              <w:spacing w:line="460" w:lineRule="exact"/>
              <w:jc w:val="center"/>
              <w:rPr>
                <w:rFonts w:ascii="宋体" w:hAnsi="宋体"/>
                <w:sz w:val="18"/>
                <w:szCs w:val="18"/>
              </w:rPr>
            </w:pPr>
            <w:r>
              <w:rPr>
                <w:rFonts w:hint="eastAsia" w:ascii="宋体" w:hAnsi="宋体" w:cs="黑体"/>
                <w:sz w:val="18"/>
                <w:szCs w:val="1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hint="eastAsia" w:ascii="宋体" w:hAnsi="宋体" w:eastAsiaTheme="minorEastAsia"/>
                <w:sz w:val="18"/>
                <w:szCs w:val="18"/>
                <w:lang w:val="en-US" w:eastAsia="zh-CN"/>
              </w:rPr>
            </w:pPr>
            <w:r>
              <w:rPr>
                <w:rFonts w:hint="eastAsia" w:ascii="宋体" w:hAnsi="宋体"/>
                <w:sz w:val="18"/>
                <w:szCs w:val="18"/>
                <w:lang w:val="en-US" w:eastAsia="zh-CN"/>
              </w:rPr>
              <w:t>1</w:t>
            </w:r>
          </w:p>
        </w:tc>
        <w:tc>
          <w:tcPr>
            <w:tcW w:w="3319" w:type="dxa"/>
            <w:noWrap w:val="0"/>
            <w:vAlign w:val="center"/>
          </w:tcPr>
          <w:p>
            <w:pPr>
              <w:jc w:val="left"/>
              <w:rPr>
                <w:rFonts w:hint="eastAsia" w:ascii="宋体" w:hAnsi="宋体" w:eastAsiaTheme="minorEastAsia"/>
                <w:sz w:val="18"/>
                <w:szCs w:val="18"/>
                <w:lang w:eastAsia="zh-CN"/>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hint="eastAsia" w:ascii="宋体" w:hAnsi="宋体" w:eastAsiaTheme="minorEastAsia"/>
                <w:sz w:val="18"/>
                <w:szCs w:val="18"/>
                <w:lang w:val="en-US" w:eastAsia="zh-CN"/>
              </w:rPr>
            </w:pPr>
            <w:r>
              <w:rPr>
                <w:rFonts w:hint="eastAsia" w:ascii="宋体" w:hAnsi="宋体"/>
                <w:sz w:val="18"/>
                <w:szCs w:val="18"/>
                <w:lang w:val="en-US" w:eastAsia="zh-CN"/>
              </w:rPr>
              <w:t>2</w:t>
            </w: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hint="eastAsia" w:ascii="宋体" w:hAnsi="宋体" w:eastAsiaTheme="minorEastAsia"/>
                <w:sz w:val="18"/>
                <w:szCs w:val="18"/>
                <w:lang w:val="en-US" w:eastAsia="zh-CN"/>
              </w:rPr>
            </w:pPr>
            <w:r>
              <w:rPr>
                <w:rFonts w:hint="eastAsia" w:ascii="宋体" w:hAnsi="宋体"/>
                <w:sz w:val="18"/>
                <w:szCs w:val="18"/>
                <w:lang w:val="en-US" w:eastAsia="zh-CN"/>
              </w:rPr>
              <w:t>3</w:t>
            </w: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ascii="宋体" w:hAnsi="宋体"/>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hint="eastAsia" w:ascii="宋体" w:hAnsi="宋体"/>
                <w:color w:val="000000"/>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hint="eastAsia" w:ascii="宋体" w:hAnsi="宋体"/>
                <w:color w:val="000000"/>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hint="eastAsia" w:ascii="宋体" w:hAnsi="宋体"/>
                <w:color w:val="000000"/>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hint="eastAsia" w:ascii="宋体" w:hAnsi="宋体"/>
                <w:color w:val="000000"/>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jc w:val="left"/>
              <w:rPr>
                <w:rFonts w:hint="eastAsia" w:ascii="宋体" w:hAnsi="宋体"/>
                <w:color w:val="000000"/>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51" w:type="dxa"/>
            <w:noWrap w:val="0"/>
            <w:vAlign w:val="center"/>
          </w:tcPr>
          <w:p>
            <w:pPr>
              <w:spacing w:line="460" w:lineRule="exact"/>
              <w:jc w:val="center"/>
              <w:rPr>
                <w:rFonts w:ascii="宋体" w:hAnsi="宋体"/>
                <w:sz w:val="18"/>
                <w:szCs w:val="18"/>
              </w:rPr>
            </w:pPr>
          </w:p>
        </w:tc>
        <w:tc>
          <w:tcPr>
            <w:tcW w:w="3319" w:type="dxa"/>
            <w:noWrap w:val="0"/>
            <w:vAlign w:val="center"/>
          </w:tcPr>
          <w:p>
            <w:pPr>
              <w:spacing w:line="460" w:lineRule="exact"/>
              <w:jc w:val="left"/>
              <w:rPr>
                <w:rFonts w:hint="eastAsia" w:ascii="宋体" w:hAnsi="宋体"/>
                <w:color w:val="000000"/>
                <w:sz w:val="18"/>
                <w:szCs w:val="18"/>
              </w:rPr>
            </w:pPr>
          </w:p>
        </w:tc>
        <w:tc>
          <w:tcPr>
            <w:tcW w:w="2732" w:type="dxa"/>
            <w:noWrap w:val="0"/>
            <w:vAlign w:val="center"/>
          </w:tcPr>
          <w:p>
            <w:pPr>
              <w:spacing w:line="460" w:lineRule="exact"/>
              <w:jc w:val="center"/>
              <w:rPr>
                <w:rFonts w:ascii="宋体" w:hAnsi="宋体"/>
                <w:sz w:val="18"/>
                <w:szCs w:val="18"/>
              </w:rPr>
            </w:pPr>
          </w:p>
        </w:tc>
        <w:tc>
          <w:tcPr>
            <w:tcW w:w="2102" w:type="dxa"/>
            <w:noWrap w:val="0"/>
            <w:vAlign w:val="center"/>
          </w:tcPr>
          <w:p>
            <w:pPr>
              <w:spacing w:line="460" w:lineRule="exact"/>
              <w:jc w:val="center"/>
              <w:rPr>
                <w:rFonts w:ascii="宋体" w:hAnsi="宋体"/>
                <w:sz w:val="18"/>
                <w:szCs w:val="18"/>
              </w:rPr>
            </w:pPr>
          </w:p>
        </w:tc>
      </w:tr>
    </w:tbl>
    <w:p>
      <w:pPr>
        <w:spacing w:line="460" w:lineRule="exact"/>
        <w:rPr>
          <w:rFonts w:ascii="宋体" w:hAnsi="宋体" w:cs="黑体"/>
          <w:sz w:val="24"/>
          <w:szCs w:val="24"/>
        </w:rPr>
      </w:pPr>
    </w:p>
    <w:p>
      <w:pPr>
        <w:spacing w:line="460" w:lineRule="exact"/>
        <w:ind w:left="1080" w:hanging="1080" w:hangingChars="450"/>
        <w:rPr>
          <w:rFonts w:ascii="宋体" w:hAnsi="宋体" w:cs="黑体"/>
          <w:sz w:val="24"/>
          <w:szCs w:val="24"/>
        </w:rPr>
      </w:pPr>
      <w:r>
        <w:rPr>
          <w:rFonts w:hint="eastAsia" w:ascii="宋体" w:hAnsi="宋体" w:cs="黑体"/>
          <w:sz w:val="24"/>
          <w:szCs w:val="24"/>
        </w:rPr>
        <w:t>注：1. “供应商响应”一览中应对应“</w:t>
      </w:r>
      <w:r>
        <w:rPr>
          <w:rFonts w:hint="eastAsia" w:ascii="宋体" w:hAnsi="宋体" w:cs="黑体"/>
          <w:sz w:val="24"/>
          <w:szCs w:val="24"/>
          <w:lang w:eastAsia="zh-CN"/>
        </w:rPr>
        <w:t>采购</w:t>
      </w:r>
      <w:r>
        <w:rPr>
          <w:rFonts w:hint="eastAsia" w:ascii="宋体" w:hAnsi="宋体" w:cs="黑体"/>
          <w:sz w:val="24"/>
          <w:szCs w:val="24"/>
        </w:rPr>
        <w:t>项目技术要求”中具体说明相应情况。</w:t>
      </w:r>
    </w:p>
    <w:p>
      <w:pPr>
        <w:spacing w:line="460" w:lineRule="exact"/>
        <w:ind w:firstLine="600" w:firstLineChars="250"/>
        <w:rPr>
          <w:rFonts w:ascii="宋体" w:hAnsi="宋体" w:cs="黑体"/>
          <w:sz w:val="24"/>
          <w:szCs w:val="24"/>
        </w:rPr>
      </w:pPr>
      <w:r>
        <w:rPr>
          <w:rFonts w:hint="eastAsia" w:ascii="宋体" w:hAnsi="宋体" w:cs="黑体"/>
          <w:sz w:val="24"/>
          <w:szCs w:val="24"/>
        </w:rPr>
        <w:t>2.“说明”一览中应写明满足采购要求或者有负偏离情况。</w:t>
      </w:r>
    </w:p>
    <w:p>
      <w:pPr>
        <w:spacing w:line="460" w:lineRule="exact"/>
        <w:rPr>
          <w:rFonts w:ascii="宋体" w:hAnsi="宋体" w:cs="黑体"/>
          <w:sz w:val="24"/>
          <w:szCs w:val="24"/>
        </w:rPr>
      </w:pPr>
    </w:p>
    <w:p>
      <w:pPr>
        <w:spacing w:line="460" w:lineRule="exact"/>
        <w:ind w:firstLine="480" w:firstLineChars="200"/>
        <w:rPr>
          <w:rFonts w:ascii="宋体" w:hAnsi="宋体" w:cs="黑体"/>
          <w:sz w:val="24"/>
          <w:szCs w:val="24"/>
        </w:rPr>
      </w:pPr>
      <w:bookmarkStart w:id="11" w:name="_Toc229477023"/>
      <w:bookmarkStart w:id="12" w:name="_Toc416813492"/>
      <w:bookmarkStart w:id="13" w:name="_Toc390256552"/>
      <w:r>
        <w:rPr>
          <w:rFonts w:hint="eastAsia" w:ascii="宋体" w:hAnsi="宋体" w:cs="黑体"/>
          <w:sz w:val="24"/>
          <w:szCs w:val="24"/>
        </w:rPr>
        <w:t>供应商代表签字</w:t>
      </w:r>
      <w:r>
        <w:rPr>
          <w:rFonts w:ascii="宋体" w:hAnsi="宋体" w:cs="黑体"/>
          <w:sz w:val="24"/>
          <w:szCs w:val="24"/>
        </w:rPr>
        <w:t>:</w:t>
      </w:r>
    </w:p>
    <w:p>
      <w:pPr>
        <w:spacing w:line="460" w:lineRule="exact"/>
        <w:ind w:firstLine="480" w:firstLineChars="200"/>
        <w:jc w:val="left"/>
        <w:rPr>
          <w:rFonts w:ascii="宋体" w:hAnsi="宋体" w:cs="黑体"/>
          <w:sz w:val="24"/>
          <w:szCs w:val="24"/>
        </w:rPr>
      </w:pPr>
      <w:r>
        <w:rPr>
          <w:rFonts w:hint="eastAsia" w:ascii="宋体" w:hAnsi="宋体" w:cs="黑体"/>
          <w:sz w:val="24"/>
          <w:szCs w:val="24"/>
        </w:rPr>
        <w:t>单位盖章：</w:t>
      </w:r>
    </w:p>
    <w:p>
      <w:pPr>
        <w:spacing w:line="460" w:lineRule="exact"/>
        <w:ind w:firstLine="480" w:firstLineChars="200"/>
        <w:jc w:val="left"/>
        <w:rPr>
          <w:rFonts w:ascii="宋体" w:hAnsi="宋体" w:cs="黑体"/>
          <w:sz w:val="24"/>
          <w:szCs w:val="24"/>
        </w:rPr>
      </w:pPr>
      <w:r>
        <w:rPr>
          <w:rFonts w:hint="eastAsia" w:ascii="宋体" w:hAnsi="宋体" w:cs="黑体"/>
          <w:sz w:val="24"/>
          <w:szCs w:val="24"/>
        </w:rPr>
        <w:t>日 期：</w:t>
      </w:r>
    </w:p>
    <w:bookmarkEnd w:id="11"/>
    <w:bookmarkEnd w:id="12"/>
    <w:bookmarkEnd w:id="13"/>
    <w:p>
      <w:pPr>
        <w:rPr>
          <w:rFonts w:hint="eastAsia" w:ascii="黑体" w:hAnsi="宋体" w:eastAsia="黑体"/>
          <w:color w:val="000000"/>
          <w:sz w:val="30"/>
          <w:szCs w:val="30"/>
        </w:rPr>
        <w:sectPr>
          <w:pgSz w:w="11906" w:h="16838"/>
          <w:pgMar w:top="935" w:right="1800" w:bottom="935" w:left="1800" w:header="851" w:footer="992" w:gutter="0"/>
          <w:cols w:space="720" w:num="1"/>
          <w:rtlGutter w:val="0"/>
          <w:docGrid w:type="lines" w:linePitch="312" w:charSpace="0"/>
        </w:sectPr>
      </w:pPr>
    </w:p>
    <w:p>
      <w:pPr>
        <w:pStyle w:val="3"/>
        <w:spacing w:line="400" w:lineRule="exact"/>
        <w:jc w:val="both"/>
        <w:rPr>
          <w:rFonts w:ascii="宋体" w:hAnsi="宋体" w:cs="黑体"/>
          <w:sz w:val="28"/>
          <w:szCs w:val="28"/>
        </w:rPr>
      </w:pPr>
      <w:bookmarkStart w:id="14" w:name="_Toc328041909"/>
      <w:bookmarkStart w:id="15" w:name="_Toc229477026"/>
      <w:bookmarkStart w:id="16" w:name="_Toc11100"/>
      <w:bookmarkStart w:id="17" w:name="_Toc390256554"/>
      <w:bookmarkStart w:id="18" w:name="_Toc435611236"/>
      <w:bookmarkStart w:id="19" w:name="_Toc416813493"/>
      <w:r>
        <w:rPr>
          <w:rFonts w:hint="eastAsia" w:ascii="宋体" w:hAnsi="宋体" w:cs="黑体"/>
          <w:sz w:val="28"/>
          <w:szCs w:val="28"/>
          <w:lang w:eastAsia="zh-CN"/>
        </w:rPr>
        <w:t>五</w:t>
      </w:r>
      <w:r>
        <w:rPr>
          <w:rFonts w:hint="eastAsia" w:ascii="宋体" w:hAnsi="宋体" w:cs="黑体"/>
          <w:sz w:val="28"/>
          <w:szCs w:val="28"/>
        </w:rPr>
        <w:t>、</w:t>
      </w:r>
      <w:bookmarkEnd w:id="14"/>
      <w:bookmarkEnd w:id="15"/>
      <w:r>
        <w:rPr>
          <w:rFonts w:hint="eastAsia" w:ascii="宋体" w:hAnsi="宋体" w:cs="黑体"/>
          <w:sz w:val="28"/>
          <w:szCs w:val="28"/>
        </w:rPr>
        <w:t>法定代表人授权书</w:t>
      </w:r>
      <w:bookmarkEnd w:id="16"/>
      <w:bookmarkEnd w:id="17"/>
      <w:bookmarkEnd w:id="18"/>
      <w:bookmarkEnd w:id="19"/>
    </w:p>
    <w:p>
      <w:pPr>
        <w:spacing w:line="460" w:lineRule="exact"/>
        <w:ind w:firstLine="3494" w:firstLineChars="1450"/>
        <w:rPr>
          <w:rFonts w:ascii="宋体" w:hAnsi="宋体"/>
          <w:b/>
          <w:bCs/>
          <w:sz w:val="24"/>
          <w:szCs w:val="24"/>
        </w:rPr>
      </w:pPr>
      <w:r>
        <w:rPr>
          <w:rFonts w:hint="eastAsia" w:ascii="宋体" w:hAnsi="宋体" w:cs="黑体"/>
          <w:b/>
          <w:bCs/>
          <w:sz w:val="24"/>
          <w:szCs w:val="24"/>
        </w:rPr>
        <w:t>法定代表人授权书</w:t>
      </w:r>
    </w:p>
    <w:p>
      <w:pPr>
        <w:spacing w:line="460" w:lineRule="exact"/>
        <w:ind w:firstLine="120" w:firstLineChars="50"/>
        <w:rPr>
          <w:rFonts w:ascii="宋体" w:hAnsi="宋体"/>
          <w:b/>
          <w:bCs/>
          <w:sz w:val="24"/>
          <w:szCs w:val="24"/>
        </w:rPr>
      </w:pPr>
    </w:p>
    <w:p>
      <w:pPr>
        <w:spacing w:line="460" w:lineRule="exact"/>
        <w:ind w:firstLine="561"/>
        <w:rPr>
          <w:rFonts w:ascii="宋体" w:hAnsi="宋体"/>
          <w:sz w:val="24"/>
        </w:rPr>
      </w:pPr>
      <w:r>
        <w:rPr>
          <w:rFonts w:hint="eastAsia" w:ascii="宋体" w:hAnsi="宋体"/>
          <w:sz w:val="24"/>
        </w:rPr>
        <w:t>本授权委托书声明：我</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（单位名称）的法定代表人，兹授权</w:t>
      </w:r>
      <w:r>
        <w:rPr>
          <w:rFonts w:hint="eastAsia" w:ascii="宋体" w:hAnsi="宋体"/>
          <w:sz w:val="24"/>
          <w:u w:val="single"/>
        </w:rPr>
        <w:t xml:space="preserve">             </w:t>
      </w:r>
      <w:r>
        <w:rPr>
          <w:rFonts w:hint="eastAsia" w:ascii="宋体" w:hAnsi="宋体"/>
          <w:sz w:val="24"/>
        </w:rPr>
        <w:t>同志，为我方签订经济合同及办理其他事务代理人，其权限是：</w:t>
      </w:r>
      <w:r>
        <w:rPr>
          <w:rFonts w:hint="eastAsia" w:ascii="宋体" w:hAnsi="宋体"/>
          <w:sz w:val="24"/>
          <w:u w:val="single"/>
        </w:rPr>
        <w:t xml:space="preserve">                              </w:t>
      </w:r>
      <w:r>
        <w:rPr>
          <w:rFonts w:hint="eastAsia" w:ascii="宋体" w:hAnsi="宋体"/>
          <w:sz w:val="24"/>
        </w:rPr>
        <w:t>。</w:t>
      </w:r>
    </w:p>
    <w:p>
      <w:pPr>
        <w:spacing w:line="460" w:lineRule="exact"/>
        <w:ind w:firstLine="561"/>
        <w:rPr>
          <w:rFonts w:ascii="宋体" w:hAnsi="宋体"/>
          <w:sz w:val="24"/>
        </w:rPr>
      </w:pPr>
      <w:r>
        <w:rPr>
          <w:rFonts w:hint="eastAsia" w:ascii="宋体" w:hAnsi="宋体"/>
          <w:sz w:val="24"/>
        </w:rPr>
        <w:t xml:space="preserve">授权单位：（盖章）     </w:t>
      </w:r>
    </w:p>
    <w:p>
      <w:pPr>
        <w:spacing w:line="460" w:lineRule="exact"/>
        <w:ind w:firstLine="561"/>
        <w:rPr>
          <w:rFonts w:ascii="宋体" w:hAnsi="宋体"/>
          <w:sz w:val="24"/>
        </w:rPr>
      </w:pPr>
      <w:r>
        <w:rPr>
          <w:rFonts w:hint="eastAsia" w:ascii="宋体" w:hAnsi="宋体"/>
          <w:sz w:val="24"/>
        </w:rPr>
        <w:t>法定代表人：（签名或盖私章）</w:t>
      </w:r>
    </w:p>
    <w:p>
      <w:pPr>
        <w:spacing w:line="460" w:lineRule="exact"/>
        <w:ind w:firstLine="561"/>
        <w:rPr>
          <w:rFonts w:ascii="宋体" w:hAnsi="宋体"/>
          <w:sz w:val="24"/>
        </w:rPr>
      </w:pPr>
      <w:r>
        <w:rPr>
          <w:rFonts w:hint="eastAsia" w:ascii="宋体" w:hAnsi="宋体"/>
          <w:sz w:val="24"/>
        </w:rPr>
        <w:t>有效期限：至        年       月      日</w:t>
      </w:r>
    </w:p>
    <w:p>
      <w:pPr>
        <w:spacing w:line="460" w:lineRule="exact"/>
        <w:ind w:firstLine="561"/>
        <w:rPr>
          <w:rFonts w:ascii="宋体" w:hAnsi="宋体"/>
          <w:sz w:val="24"/>
        </w:rPr>
      </w:pPr>
      <w:r>
        <w:rPr>
          <w:rFonts w:hint="eastAsia" w:ascii="宋体" w:hAnsi="宋体"/>
          <w:sz w:val="24"/>
        </w:rPr>
        <w:t>签发日期：</w:t>
      </w:r>
    </w:p>
    <w:p>
      <w:pPr>
        <w:spacing w:line="460" w:lineRule="exact"/>
        <w:ind w:firstLine="561"/>
        <w:rPr>
          <w:rFonts w:ascii="宋体" w:hAnsi="宋体"/>
          <w:sz w:val="24"/>
        </w:rPr>
      </w:pPr>
      <w:r>
        <w:rPr>
          <w:rFonts w:hint="eastAsia" w:ascii="宋体" w:hAnsi="宋体"/>
          <w:sz w:val="24"/>
        </w:rPr>
        <w:t xml:space="preserve">附：代理人性别：        年龄：       职务：         </w:t>
      </w:r>
    </w:p>
    <w:p>
      <w:pPr>
        <w:spacing w:line="460" w:lineRule="exact"/>
        <w:ind w:firstLine="561"/>
        <w:rPr>
          <w:rFonts w:ascii="宋体" w:hAnsi="宋体"/>
          <w:sz w:val="24"/>
        </w:rPr>
      </w:pPr>
      <w:r>
        <w:rPr>
          <w:rFonts w:hint="eastAsia" w:ascii="宋体" w:hAnsi="宋体"/>
          <w:sz w:val="24"/>
        </w:rPr>
        <w:t>身份证号码：                     联系电话：</w:t>
      </w:r>
    </w:p>
    <w:p>
      <w:pPr>
        <w:spacing w:line="460" w:lineRule="exact"/>
        <w:rPr>
          <w:rFonts w:ascii="宋体" w:hAnsi="宋体"/>
          <w:sz w:val="24"/>
        </w:rPr>
      </w:pPr>
      <w:r>
        <w:rPr>
          <w:rFonts w:hint="eastAsia" w:ascii="宋体" w:hAnsi="宋体"/>
          <w:sz w:val="24"/>
        </w:rPr>
        <w:t>说明：1.法定代表人为企业事业单位、国家机关、社会团体的主要行政负责人。</w:t>
      </w:r>
    </w:p>
    <w:p>
      <w:pPr>
        <w:spacing w:line="460" w:lineRule="exact"/>
        <w:ind w:firstLine="708" w:firstLineChars="295"/>
        <w:rPr>
          <w:rFonts w:ascii="宋体" w:hAnsi="宋体"/>
          <w:sz w:val="24"/>
        </w:rPr>
      </w:pPr>
      <w:r>
        <w:rPr>
          <w:rFonts w:hint="eastAsia" w:ascii="宋体" w:hAnsi="宋体"/>
          <w:sz w:val="24"/>
        </w:rPr>
        <w:t>2.内容必须填写真实、清楚、涂改无效，不得转让。</w:t>
      </w:r>
    </w:p>
    <w:p>
      <w:pPr>
        <w:spacing w:line="460" w:lineRule="exact"/>
        <w:ind w:firstLine="708" w:firstLineChars="295"/>
        <w:rPr>
          <w:rFonts w:ascii="宋体" w:hAnsi="宋体"/>
          <w:sz w:val="24"/>
        </w:rPr>
      </w:pPr>
      <w:r>
        <w:rPr>
          <w:rFonts w:hint="eastAsia" w:ascii="宋体" w:hAnsi="宋体"/>
          <w:sz w:val="24"/>
        </w:rPr>
        <w:t>3.将此委托书原件提交政府采购代理机构作为应答文件附件。</w:t>
      </w:r>
    </w:p>
    <w:p>
      <w:pPr>
        <w:spacing w:line="460" w:lineRule="exact"/>
        <w:ind w:firstLine="708" w:firstLineChars="295"/>
        <w:rPr>
          <w:rFonts w:ascii="宋体" w:hAnsi="宋体"/>
          <w:sz w:val="24"/>
        </w:rPr>
      </w:pPr>
      <w:r>
        <w:rPr>
          <w:rFonts w:hint="eastAsia" w:ascii="宋体" w:hAnsi="宋体"/>
          <w:sz w:val="24"/>
        </w:rPr>
        <w:t>4.授权权限：全权代表本公司参与上述采购项目的</w:t>
      </w:r>
      <w:r>
        <w:rPr>
          <w:rFonts w:hint="eastAsia" w:ascii="宋体" w:hAnsi="宋体"/>
          <w:sz w:val="24"/>
          <w:lang w:eastAsia="zh-CN"/>
        </w:rPr>
        <w:t>采购</w:t>
      </w:r>
      <w:r>
        <w:rPr>
          <w:rFonts w:hint="eastAsia" w:ascii="宋体" w:hAnsi="宋体"/>
          <w:sz w:val="24"/>
        </w:rPr>
        <w:t>响应，负责提供与签署确认一切文书资料，以及向贵方递交的任何补充承诺。</w:t>
      </w:r>
    </w:p>
    <w:p>
      <w:pPr>
        <w:spacing w:line="460" w:lineRule="exact"/>
        <w:ind w:firstLine="708" w:firstLineChars="295"/>
        <w:rPr>
          <w:rFonts w:ascii="宋体" w:hAnsi="宋体"/>
          <w:sz w:val="24"/>
        </w:rPr>
      </w:pPr>
      <w:r>
        <w:rPr>
          <w:rFonts w:hint="eastAsia" w:ascii="宋体" w:hAnsi="宋体"/>
          <w:sz w:val="24"/>
        </w:rPr>
        <w:t>5.有效期限：与本公司应答文件中标注的</w:t>
      </w:r>
      <w:r>
        <w:rPr>
          <w:rFonts w:hint="eastAsia" w:ascii="宋体" w:hAnsi="宋体"/>
          <w:sz w:val="24"/>
          <w:lang w:eastAsia="zh-CN"/>
        </w:rPr>
        <w:t>采购</w:t>
      </w:r>
      <w:r>
        <w:rPr>
          <w:rFonts w:hint="eastAsia" w:ascii="宋体" w:hAnsi="宋体"/>
          <w:sz w:val="24"/>
        </w:rPr>
        <w:t>有效期相同，自本单位盖公章之日起生效。</w:t>
      </w:r>
    </w:p>
    <w:p>
      <w:pPr>
        <w:spacing w:line="460" w:lineRule="exact"/>
        <w:ind w:firstLine="708" w:firstLineChars="295"/>
        <w:rPr>
          <w:rFonts w:ascii="宋体" w:hAnsi="宋体"/>
          <w:sz w:val="24"/>
        </w:rPr>
      </w:pPr>
      <w:r>
        <w:rPr>
          <w:rFonts w:hint="eastAsia" w:ascii="宋体" w:hAnsi="宋体"/>
          <w:sz w:val="24"/>
        </w:rPr>
        <w:t>6.应答签字代表为法定代表人，则本表不适用。</w:t>
      </w:r>
    </w:p>
    <w:tbl>
      <w:tblPr>
        <w:tblStyle w:val="5"/>
        <w:tblW w:w="9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2"/>
        <w:gridCol w:w="4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3" w:hRule="atLeast"/>
        </w:trPr>
        <w:tc>
          <w:tcPr>
            <w:tcW w:w="4602" w:type="dxa"/>
            <w:noWrap w:val="0"/>
            <w:vAlign w:val="center"/>
          </w:tcPr>
          <w:p>
            <w:pPr>
              <w:spacing w:line="360" w:lineRule="auto"/>
              <w:jc w:val="center"/>
              <w:rPr>
                <w:rFonts w:ascii="宋体" w:hAnsi="宋体"/>
                <w:sz w:val="24"/>
              </w:rPr>
            </w:pPr>
            <w:r>
              <w:rPr>
                <w:rFonts w:hint="eastAsia" w:ascii="宋体" w:hAnsi="宋体"/>
                <w:sz w:val="24"/>
              </w:rPr>
              <w:t>法定代表人身份证粘贴处</w:t>
            </w:r>
          </w:p>
        </w:tc>
        <w:tc>
          <w:tcPr>
            <w:tcW w:w="4602" w:type="dxa"/>
            <w:noWrap w:val="0"/>
            <w:vAlign w:val="center"/>
          </w:tcPr>
          <w:p>
            <w:pPr>
              <w:spacing w:line="360" w:lineRule="auto"/>
              <w:jc w:val="center"/>
              <w:rPr>
                <w:rFonts w:ascii="宋体" w:hAnsi="宋体"/>
                <w:sz w:val="24"/>
              </w:rPr>
            </w:pPr>
            <w:r>
              <w:rPr>
                <w:rFonts w:hint="eastAsia" w:ascii="宋体" w:hAnsi="宋体"/>
                <w:sz w:val="24"/>
              </w:rPr>
              <w:t>委托人身份证粘贴处</w:t>
            </w:r>
          </w:p>
        </w:tc>
      </w:tr>
    </w:tbl>
    <w:p>
      <w:pPr>
        <w:rPr>
          <w:u w:val="single"/>
        </w:rPr>
      </w:pPr>
    </w:p>
    <w:p>
      <w:r>
        <w:rPr>
          <w:rFonts w:hint="eastAsia" w:ascii="宋体" w:hAnsi="宋体" w:cs="黑体"/>
          <w:sz w:val="28"/>
          <w:szCs w:val="28"/>
          <w:lang w:val="en-US" w:eastAsia="zh-CN"/>
        </w:rPr>
        <w:t>六、营业执照扫描件</w:t>
      </w:r>
      <w:bookmarkStart w:id="20" w:name="_GoBack"/>
      <w:bookmarkEnd w:id="2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DejaVu Sans">
    <w:altName w:val="Times New Roman"/>
    <w:panose1 w:val="00000000000000000000"/>
    <w:charset w:val="00"/>
    <w:family w:val="roman"/>
    <w:pitch w:val="default"/>
    <w:sig w:usb0="00000000" w:usb1="0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F66B89C"/>
    <w:multiLevelType w:val="multilevel"/>
    <w:tmpl w:val="5F66B89C"/>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pStyle w:val="2"/>
      <w:suff w:val="nothing"/>
      <w:lvlText w:val="（%4）"/>
      <w:lvlJc w:val="left"/>
      <w:pPr>
        <w:ind w:left="176"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7C4F3558"/>
    <w:multiLevelType w:val="multilevel"/>
    <w:tmpl w:val="7C4F3558"/>
    <w:lvl w:ilvl="0" w:tentative="0">
      <w:start w:val="1"/>
      <w:numFmt w:val="decimal"/>
      <w:lvlText w:val="%1."/>
      <w:lvlJc w:val="left"/>
      <w:pPr>
        <w:tabs>
          <w:tab w:val="left" w:pos="420"/>
        </w:tabs>
        <w:ind w:left="420" w:hanging="420"/>
      </w:pPr>
    </w:lvl>
    <w:lvl w:ilvl="1" w:tentative="0">
      <w:start w:val="1"/>
      <w:numFmt w:val="decimal"/>
      <w:isLgl/>
      <w:lvlText w:val="%1.%2"/>
      <w:lvlJc w:val="left"/>
      <w:pPr>
        <w:tabs>
          <w:tab w:val="left" w:pos="420"/>
        </w:tabs>
        <w:ind w:left="420" w:hanging="420"/>
      </w:pPr>
      <w:rPr>
        <w:rFonts w:hint="default" w:ascii="Times New Roman" w:hAnsi="Times New Roman" w:cs="Times New Roman"/>
      </w:rPr>
    </w:lvl>
    <w:lvl w:ilvl="2" w:tentative="0">
      <w:start w:val="1"/>
      <w:numFmt w:val="decimal"/>
      <w:isLgl/>
      <w:lvlText w:val="%1.%2.%3"/>
      <w:lvlJc w:val="left"/>
      <w:pPr>
        <w:tabs>
          <w:tab w:val="left" w:pos="720"/>
        </w:tabs>
        <w:ind w:left="720" w:hanging="720"/>
      </w:pPr>
    </w:lvl>
    <w:lvl w:ilvl="3" w:tentative="0">
      <w:start w:val="1"/>
      <w:numFmt w:val="decimal"/>
      <w:isLgl/>
      <w:lvlText w:val="%1.%2.%3.%4"/>
      <w:lvlJc w:val="left"/>
      <w:pPr>
        <w:tabs>
          <w:tab w:val="left" w:pos="720"/>
        </w:tabs>
        <w:ind w:left="720" w:hanging="720"/>
      </w:pPr>
    </w:lvl>
    <w:lvl w:ilvl="4" w:tentative="0">
      <w:start w:val="1"/>
      <w:numFmt w:val="decimal"/>
      <w:isLgl/>
      <w:lvlText w:val="%1.%2.%3.%4.%5"/>
      <w:lvlJc w:val="left"/>
      <w:pPr>
        <w:tabs>
          <w:tab w:val="left" w:pos="1080"/>
        </w:tabs>
        <w:ind w:left="1080" w:hanging="1080"/>
      </w:pPr>
    </w:lvl>
    <w:lvl w:ilvl="5" w:tentative="0">
      <w:start w:val="1"/>
      <w:numFmt w:val="decimal"/>
      <w:isLgl/>
      <w:lvlText w:val="%1.%2.%3.%4.%5.%6"/>
      <w:lvlJc w:val="left"/>
      <w:pPr>
        <w:tabs>
          <w:tab w:val="left" w:pos="1080"/>
        </w:tabs>
        <w:ind w:left="1080" w:hanging="1080"/>
      </w:pPr>
    </w:lvl>
    <w:lvl w:ilvl="6" w:tentative="0">
      <w:start w:val="1"/>
      <w:numFmt w:val="decimal"/>
      <w:isLgl/>
      <w:lvlText w:val="%1.%2.%3.%4.%5.%6.%7"/>
      <w:lvlJc w:val="left"/>
      <w:pPr>
        <w:tabs>
          <w:tab w:val="left" w:pos="1440"/>
        </w:tabs>
        <w:ind w:left="1440" w:hanging="1440"/>
      </w:pPr>
    </w:lvl>
    <w:lvl w:ilvl="7" w:tentative="0">
      <w:start w:val="1"/>
      <w:numFmt w:val="decimal"/>
      <w:isLgl/>
      <w:lvlText w:val="%1.%2.%3.%4.%5.%6.%7.%8"/>
      <w:lvlJc w:val="left"/>
      <w:pPr>
        <w:tabs>
          <w:tab w:val="left" w:pos="1440"/>
        </w:tabs>
        <w:ind w:left="1440" w:hanging="1440"/>
      </w:pPr>
    </w:lvl>
    <w:lvl w:ilvl="8" w:tentative="0">
      <w:start w:val="1"/>
      <w:numFmt w:val="decimal"/>
      <w:isLgl/>
      <w:lvlText w:val="%1.%2.%3.%4.%5.%6.%7.%8.%9"/>
      <w:lvlJc w:val="left"/>
      <w:pPr>
        <w:tabs>
          <w:tab w:val="left" w:pos="1800"/>
        </w:tabs>
        <w:ind w:left="1800" w:hanging="180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lNzM0ZjQzZjY2ZWI0MmM4YmUxYmQ3OWM5NjY0NDQifQ=="/>
  </w:docVars>
  <w:rsids>
    <w:rsidRoot w:val="27584C95"/>
    <w:rsid w:val="27584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3">
    <w:name w:val="heading 2"/>
    <w:basedOn w:val="1"/>
    <w:next w:val="4"/>
    <w:qFormat/>
    <w:uiPriority w:val="9"/>
    <w:pPr>
      <w:keepNext/>
      <w:keepLines/>
      <w:spacing w:before="260" w:after="260" w:line="500" w:lineRule="exact"/>
      <w:jc w:val="center"/>
      <w:outlineLvl w:val="1"/>
    </w:pPr>
    <w:rPr>
      <w:rFonts w:ascii="Cambria" w:hAnsi="Cambria"/>
      <w:b/>
      <w:bCs/>
      <w:kern w:val="0"/>
      <w:sz w:val="32"/>
      <w:szCs w:val="32"/>
    </w:rPr>
  </w:style>
  <w:style w:type="paragraph" w:styleId="2">
    <w:name w:val="heading 4"/>
    <w:basedOn w:val="1"/>
    <w:next w:val="1"/>
    <w:unhideWhenUsed/>
    <w:qFormat/>
    <w:uiPriority w:val="0"/>
    <w:pPr>
      <w:keepNext/>
      <w:keepLines/>
      <w:numPr>
        <w:ilvl w:val="3"/>
        <w:numId w:val="1"/>
      </w:numPr>
      <w:adjustRightInd w:val="0"/>
      <w:ind w:firstLine="454" w:firstLineChars="200"/>
      <w:outlineLvl w:val="3"/>
    </w:pPr>
    <w:rPr>
      <w:rFonts w:ascii="DejaVu Sans" w:hAnsi="DejaVu Sans"/>
      <w:b/>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szCs w:val="20"/>
    </w:rPr>
  </w:style>
  <w:style w:type="paragraph" w:styleId="7">
    <w:name w:val="List Paragraph"/>
    <w:basedOn w:val="1"/>
    <w:qFormat/>
    <w:uiPriority w:val="34"/>
    <w:pPr>
      <w:ind w:firstLine="420" w:firstLineChars="200"/>
    </w:pPr>
  </w:style>
  <w:style w:type="paragraph" w:customStyle="1" w:styleId="8">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9">
    <w:name w:val="正文0"/>
    <w:basedOn w:val="1"/>
    <w:qFormat/>
    <w:uiPriority w:val="0"/>
    <w:pPr>
      <w:autoSpaceDE w:val="0"/>
      <w:autoSpaceDN w:val="0"/>
      <w:adjustRightInd w:val="0"/>
      <w:spacing w:before="240" w:after="60" w:line="360" w:lineRule="atLeast"/>
    </w:pPr>
    <w:rPr>
      <w:b/>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2023-02-17T07:27:00Z</dcterms:created>
  <dc:creator>熊思杰</dc:creator>
  <cp:lastModifiedBy>熊思杰</cp:lastModifiedBy>
  <dcterms:modified xsi:type="dcterms:W3CDTF">2023-02-17T07:28:18Z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5FBC6078072449C19D987ACEB7080503</vt:lpwstr>
  </property>
</Properties>
</file>